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388E5" w14:textId="089CAE78"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8F1C4E">
        <w:t>1</w:t>
      </w:r>
      <w:r w:rsidRPr="00CE0424">
        <w:t xml:space="preserve"> </w:t>
      </w:r>
      <w:r w:rsidR="008F1C4E">
        <w:t xml:space="preserve">Meeting </w:t>
      </w:r>
      <w:r w:rsidRPr="00CE0424">
        <w:t>#</w:t>
      </w:r>
      <w:r w:rsidR="00DB0376">
        <w:t>103-e</w:t>
      </w:r>
      <w:r w:rsidRPr="00CE0424">
        <w:tab/>
      </w:r>
      <w:r w:rsidRPr="00CE0424">
        <w:rPr>
          <w:sz w:val="32"/>
          <w:szCs w:val="32"/>
        </w:rPr>
        <w:t xml:space="preserve">Tdoc </w:t>
      </w:r>
      <w:r w:rsidR="00091557" w:rsidRPr="00CE0424">
        <w:rPr>
          <w:sz w:val="32"/>
          <w:szCs w:val="32"/>
        </w:rPr>
        <w:t>R</w:t>
      </w:r>
      <w:r w:rsidR="008F1C4E">
        <w:rPr>
          <w:sz w:val="32"/>
          <w:szCs w:val="32"/>
        </w:rPr>
        <w:t>1</w:t>
      </w:r>
      <w:r w:rsidR="00091557" w:rsidRPr="00CE0424">
        <w:rPr>
          <w:sz w:val="32"/>
          <w:szCs w:val="32"/>
        </w:rPr>
        <w:t>-</w:t>
      </w:r>
      <w:r w:rsidR="00DB0376">
        <w:rPr>
          <w:sz w:val="32"/>
          <w:szCs w:val="32"/>
        </w:rPr>
        <w:t>2007709</w:t>
      </w:r>
    </w:p>
    <w:p w14:paraId="473891F9" w14:textId="00E1EC0F" w:rsidR="00DB0376" w:rsidRPr="00CE0424" w:rsidRDefault="00DB0376" w:rsidP="00DB0376">
      <w:pPr>
        <w:pStyle w:val="3GPPHeader"/>
      </w:pPr>
      <w:r>
        <w:t>Online, October 26</w:t>
      </w:r>
      <w:r w:rsidRPr="0083546B">
        <w:rPr>
          <w:vertAlign w:val="superscript"/>
        </w:rPr>
        <w:t>th</w:t>
      </w:r>
      <w:r>
        <w:t xml:space="preserve"> – November 13</w:t>
      </w:r>
      <w:r w:rsidRPr="0083546B">
        <w:rPr>
          <w:vertAlign w:val="superscript"/>
        </w:rPr>
        <w:t>th</w:t>
      </w:r>
      <w:r>
        <w:t>, 2020</w:t>
      </w:r>
    </w:p>
    <w:p w14:paraId="3086AC07" w14:textId="77777777" w:rsidR="00E90E49" w:rsidRPr="00CE0424" w:rsidRDefault="00E90E49" w:rsidP="00357380">
      <w:pPr>
        <w:pStyle w:val="3GPPHeader"/>
      </w:pPr>
    </w:p>
    <w:p w14:paraId="3982483C" w14:textId="65651FE5" w:rsidR="00E90E49" w:rsidRPr="00DB0376" w:rsidRDefault="00E90E49" w:rsidP="00311702">
      <w:pPr>
        <w:pStyle w:val="3GPPHeader"/>
        <w:rPr>
          <w:sz w:val="22"/>
        </w:rPr>
      </w:pPr>
      <w:r w:rsidRPr="00DB0376">
        <w:rPr>
          <w:sz w:val="22"/>
        </w:rPr>
        <w:t>Agenda Item:</w:t>
      </w:r>
      <w:r w:rsidRPr="00DB0376">
        <w:rPr>
          <w:sz w:val="22"/>
        </w:rPr>
        <w:tab/>
      </w:r>
      <w:r w:rsidR="00DB0376" w:rsidRPr="00DB0376">
        <w:rPr>
          <w:sz w:val="22"/>
        </w:rPr>
        <w:t>8.3.2</w:t>
      </w:r>
    </w:p>
    <w:p w14:paraId="5619E868" w14:textId="77777777" w:rsidR="00E90E49" w:rsidRPr="00DB0376" w:rsidRDefault="003D3C45" w:rsidP="00F64C2B">
      <w:pPr>
        <w:pStyle w:val="3GPPHeader"/>
        <w:rPr>
          <w:sz w:val="22"/>
        </w:rPr>
      </w:pPr>
      <w:r>
        <w:rPr>
          <w:sz w:val="22"/>
        </w:rPr>
        <w:t>Source:</w:t>
      </w:r>
      <w:r w:rsidR="00E90E49" w:rsidRPr="00CE0424">
        <w:rPr>
          <w:sz w:val="22"/>
        </w:rPr>
        <w:tab/>
      </w:r>
      <w:r w:rsidR="00F64C2B" w:rsidRPr="00DB0376">
        <w:rPr>
          <w:sz w:val="22"/>
        </w:rPr>
        <w:t>Ericsson</w:t>
      </w:r>
    </w:p>
    <w:p w14:paraId="3AF5C9FA" w14:textId="6943084B" w:rsidR="00E90E49" w:rsidRPr="00DB0376" w:rsidRDefault="003D3C45" w:rsidP="00311702">
      <w:pPr>
        <w:pStyle w:val="3GPPHeader"/>
        <w:rPr>
          <w:sz w:val="22"/>
        </w:rPr>
      </w:pPr>
      <w:r w:rsidRPr="00DB0376">
        <w:rPr>
          <w:sz w:val="22"/>
        </w:rPr>
        <w:t>Title:</w:t>
      </w:r>
      <w:r w:rsidR="00E90E49" w:rsidRPr="00DB0376">
        <w:rPr>
          <w:sz w:val="22"/>
        </w:rPr>
        <w:tab/>
      </w:r>
      <w:r w:rsidR="00DB0376" w:rsidRPr="00DB0376">
        <w:rPr>
          <w:sz w:val="22"/>
        </w:rPr>
        <w:t xml:space="preserve">Enhancements for </w:t>
      </w:r>
      <w:proofErr w:type="spellStart"/>
      <w:r w:rsidR="00DB0376" w:rsidRPr="00DB0376">
        <w:rPr>
          <w:sz w:val="22"/>
        </w:rPr>
        <w:t>IIoT</w:t>
      </w:r>
      <w:proofErr w:type="spellEnd"/>
      <w:r w:rsidR="00DB0376" w:rsidRPr="00DB0376">
        <w:rPr>
          <w:sz w:val="22"/>
        </w:rPr>
        <w:t>/URLLC on Unlicensed Band</w:t>
      </w:r>
    </w:p>
    <w:p w14:paraId="025260C1" w14:textId="77777777" w:rsidR="00E90E49" w:rsidRPr="00CE0424" w:rsidRDefault="00E90E49" w:rsidP="00D546FF">
      <w:pPr>
        <w:pStyle w:val="3GPPHeader"/>
        <w:rPr>
          <w:sz w:val="22"/>
        </w:rPr>
      </w:pPr>
      <w:r w:rsidRPr="00DB0376">
        <w:rPr>
          <w:sz w:val="22"/>
        </w:rPr>
        <w:t>Document for:</w:t>
      </w:r>
      <w:r w:rsidRPr="00DB0376">
        <w:rPr>
          <w:sz w:val="22"/>
        </w:rPr>
        <w:tab/>
        <w:t>Discussion, Decision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6C3AD517" w14:textId="3E06CF34" w:rsidR="00DA7660" w:rsidRPr="00DA7660" w:rsidRDefault="00DA7660" w:rsidP="00DA7660">
      <w:pPr>
        <w:rPr>
          <w:rFonts w:cs="Arial"/>
        </w:rPr>
      </w:pPr>
      <w:bookmarkStart w:id="1" w:name="_Hlk47488960"/>
      <w:r w:rsidRPr="00DA7660">
        <w:rPr>
          <w:rFonts w:cs="Arial"/>
        </w:rPr>
        <w:t xml:space="preserve">In the previous meeting, the discussion in RAN1 on the following objective of Rel-17 </w:t>
      </w:r>
      <w:proofErr w:type="spellStart"/>
      <w:r w:rsidRPr="00DA7660">
        <w:rPr>
          <w:rFonts w:cs="Arial"/>
        </w:rPr>
        <w:t>IIoT</w:t>
      </w:r>
      <w:proofErr w:type="spellEnd"/>
      <w:r w:rsidRPr="00DA7660">
        <w:rPr>
          <w:rFonts w:cs="Arial"/>
        </w:rPr>
        <w:t xml:space="preserve">/URLLC WID </w:t>
      </w:r>
      <w:r w:rsidRPr="00DA7660">
        <w:rPr>
          <w:rFonts w:cs="Arial"/>
        </w:rPr>
        <w:fldChar w:fldCharType="begin"/>
      </w:r>
      <w:r w:rsidRPr="00DA7660">
        <w:rPr>
          <w:rFonts w:cs="Arial"/>
        </w:rPr>
        <w:instrText xml:space="preserve"> REF _Ref47461202 \n \h  \* MERGEFORMAT </w:instrText>
      </w:r>
      <w:r w:rsidRPr="00DA7660">
        <w:rPr>
          <w:rFonts w:cs="Arial"/>
        </w:rPr>
      </w:r>
      <w:r w:rsidRPr="00DA7660">
        <w:rPr>
          <w:rFonts w:cs="Arial"/>
        </w:rPr>
        <w:fldChar w:fldCharType="separate"/>
      </w:r>
      <w:r w:rsidR="00C8021E">
        <w:rPr>
          <w:rFonts w:cs="Arial"/>
        </w:rPr>
        <w:t>[1]</w:t>
      </w:r>
      <w:r w:rsidRPr="00DA7660">
        <w:rPr>
          <w:rFonts w:cs="Arial"/>
        </w:rPr>
        <w:fldChar w:fldCharType="end"/>
      </w:r>
      <w:r w:rsidRPr="00DA7660">
        <w:rPr>
          <w:rFonts w:cs="Arial"/>
        </w:rPr>
        <w:t xml:space="preserve"> was kicked-off</w:t>
      </w:r>
    </w:p>
    <w:p w14:paraId="280DD356" w14:textId="77777777" w:rsidR="00DA7660" w:rsidRDefault="00DA7660" w:rsidP="00DA7660">
      <w:pPr>
        <w:numPr>
          <w:ilvl w:val="0"/>
          <w:numId w:val="34"/>
        </w:numPr>
        <w:overflowPunct w:val="0"/>
        <w:autoSpaceDE w:val="0"/>
        <w:autoSpaceDN w:val="0"/>
        <w:spacing w:after="0" w:line="240" w:lineRule="auto"/>
        <w:jc w:val="both"/>
        <w:rPr>
          <w:lang w:eastAsia="fi-FI"/>
        </w:rPr>
      </w:pPr>
      <w:r>
        <w:t xml:space="preserve">Uplink </w:t>
      </w:r>
      <w:r w:rsidRPr="008C6721">
        <w:t>enhancements for URLLC in unlicensed controlled environments</w:t>
      </w:r>
      <w:r>
        <w:t xml:space="preserve"> </w:t>
      </w:r>
      <w:r w:rsidRPr="0071020C">
        <w:rPr>
          <w:lang w:eastAsia="ja-JP"/>
        </w:rPr>
        <w:t>[RAN1, RAN2]</w:t>
      </w:r>
      <w:r>
        <w:rPr>
          <w:lang w:eastAsia="ja-JP"/>
        </w:rPr>
        <w:t>:</w:t>
      </w:r>
    </w:p>
    <w:p w14:paraId="35714703" w14:textId="77777777" w:rsidR="00DA7660" w:rsidRPr="008747C8" w:rsidRDefault="00DA7660" w:rsidP="00DA7660">
      <w:pPr>
        <w:numPr>
          <w:ilvl w:val="1"/>
          <w:numId w:val="34"/>
        </w:numPr>
        <w:overflowPunct w:val="0"/>
        <w:autoSpaceDE w:val="0"/>
        <w:autoSpaceDN w:val="0"/>
        <w:spacing w:after="0" w:line="240" w:lineRule="auto"/>
        <w:jc w:val="both"/>
        <w:rPr>
          <w:lang w:eastAsia="fi-FI"/>
        </w:rPr>
      </w:pPr>
      <w:r w:rsidRPr="008747C8">
        <w:rPr>
          <w:lang w:eastAsia="fi-FI"/>
        </w:rPr>
        <w:t xml:space="preserve"> </w:t>
      </w:r>
      <w:r w:rsidRPr="008C6721">
        <w:rPr>
          <w:lang w:eastAsia="fi-FI"/>
        </w:rPr>
        <w:t>Specify support for UE-initiated COT for FBE with minimum specification effort</w:t>
      </w:r>
    </w:p>
    <w:p w14:paraId="55BDFD7A" w14:textId="77777777" w:rsidR="00DA7660" w:rsidRPr="008747C8" w:rsidRDefault="00DA7660" w:rsidP="00DA7660">
      <w:pPr>
        <w:numPr>
          <w:ilvl w:val="1"/>
          <w:numId w:val="34"/>
        </w:numPr>
        <w:overflowPunct w:val="0"/>
        <w:autoSpaceDE w:val="0"/>
        <w:autoSpaceDN w:val="0"/>
        <w:spacing w:after="180" w:line="240" w:lineRule="auto"/>
        <w:jc w:val="both"/>
        <w:rPr>
          <w:lang w:eastAsia="fi-FI"/>
        </w:rPr>
      </w:pPr>
      <w:r w:rsidRPr="008747C8">
        <w:rPr>
          <w:lang w:eastAsia="fi-FI"/>
        </w:rPr>
        <w:t xml:space="preserve"> </w:t>
      </w:r>
      <w:r w:rsidRPr="008C6721">
        <w:rPr>
          <w:lang w:eastAsia="fi-FI"/>
        </w:rPr>
        <w:t>Harmonizing UL configured-grant enhancements in NR-U and URLLC introduced in Rel-16 to be applicable for unlicensed spectrum</w:t>
      </w:r>
    </w:p>
    <w:bookmarkEnd w:id="1"/>
    <w:p w14:paraId="6E357469" w14:textId="135B0B96" w:rsidR="008953BA" w:rsidRPr="00DA7660" w:rsidRDefault="00DA7660" w:rsidP="008953BA">
      <w:pPr>
        <w:rPr>
          <w:rFonts w:cs="Arial"/>
          <w:lang w:eastAsia="ja-JP"/>
        </w:rPr>
      </w:pPr>
      <w:r w:rsidRPr="00DA7660">
        <w:rPr>
          <w:rFonts w:cs="Arial"/>
          <w:lang w:eastAsia="fi-FI"/>
        </w:rPr>
        <w:t>During the last meeting, the following agreements were made:</w:t>
      </w:r>
    </w:p>
    <w:p w14:paraId="13BFC5AD" w14:textId="77777777" w:rsidR="008953BA" w:rsidRDefault="008953BA" w:rsidP="008953BA">
      <w:pPr>
        <w:rPr>
          <w:rFonts w:ascii="Calibri" w:eastAsia="SimSun" w:hAnsi="Calibri" w:cs="Calibri"/>
          <w:highlight w:val="green"/>
          <w:lang w:eastAsia="zh-CN"/>
        </w:rPr>
      </w:pPr>
      <w:r>
        <w:rPr>
          <w:highlight w:val="green"/>
        </w:rPr>
        <w:t>Agreements:</w:t>
      </w:r>
    </w:p>
    <w:p w14:paraId="3F0F361F" w14:textId="77777777" w:rsidR="008953BA" w:rsidRDefault="008953BA" w:rsidP="008953BA">
      <w:pPr>
        <w:numPr>
          <w:ilvl w:val="0"/>
          <w:numId w:val="23"/>
        </w:numPr>
        <w:spacing w:after="0" w:line="240" w:lineRule="auto"/>
      </w:pPr>
      <w:r>
        <w:t>For semi-static channel access mode,</w:t>
      </w:r>
    </w:p>
    <w:p w14:paraId="459C068C" w14:textId="77777777" w:rsidR="008953BA" w:rsidRDefault="008953BA" w:rsidP="008953BA">
      <w:pPr>
        <w:numPr>
          <w:ilvl w:val="0"/>
          <w:numId w:val="23"/>
        </w:numPr>
        <w:spacing w:after="0" w:line="240" w:lineRule="auto"/>
        <w:ind w:left="720"/>
      </w:pPr>
      <w:r>
        <w:t>If sensing is needed, it is performed immediately before the configured/scheduled transmission opportunity.</w:t>
      </w:r>
    </w:p>
    <w:p w14:paraId="4E7F1733" w14:textId="49DBAFD5" w:rsidR="008953BA" w:rsidRDefault="008953BA" w:rsidP="008953BA">
      <w:pPr>
        <w:numPr>
          <w:ilvl w:val="0"/>
          <w:numId w:val="23"/>
        </w:numPr>
        <w:spacing w:after="0" w:line="240" w:lineRule="auto"/>
        <w:ind w:left="720"/>
      </w:pPr>
      <w:r>
        <w:t>For operation with semi-static channel access, the Rel-16 random starting offsets for UL configured grants with Full BW allocation when UE initiates a COT, is not supported.</w:t>
      </w:r>
    </w:p>
    <w:p w14:paraId="0BF56423" w14:textId="77777777" w:rsidR="008953BA" w:rsidRDefault="008953BA" w:rsidP="008E7B7F">
      <w:pPr>
        <w:spacing w:after="0" w:line="240" w:lineRule="auto"/>
        <w:ind w:left="720"/>
      </w:pPr>
    </w:p>
    <w:p w14:paraId="7CA9D012" w14:textId="77777777" w:rsidR="008953BA" w:rsidRDefault="008953BA" w:rsidP="008953BA">
      <w:pPr>
        <w:rPr>
          <w:highlight w:val="green"/>
        </w:rPr>
      </w:pPr>
      <w:r>
        <w:rPr>
          <w:highlight w:val="green"/>
        </w:rPr>
        <w:t>Agreements:</w:t>
      </w:r>
    </w:p>
    <w:p w14:paraId="19A04CDC" w14:textId="77777777" w:rsidR="008953BA" w:rsidRDefault="008953BA" w:rsidP="008953BA">
      <w:pPr>
        <w:numPr>
          <w:ilvl w:val="0"/>
          <w:numId w:val="24"/>
        </w:numPr>
        <w:spacing w:after="0" w:line="240" w:lineRule="auto"/>
        <w:ind w:left="360"/>
        <w:rPr>
          <w:lang w:eastAsia="ko-KR"/>
        </w:rPr>
      </w:pPr>
      <w:r>
        <w:t>For semi-static channel access mode,</w:t>
      </w:r>
    </w:p>
    <w:p w14:paraId="35B15363" w14:textId="77777777" w:rsidR="008953BA" w:rsidRDefault="008953BA" w:rsidP="008953BA">
      <w:pPr>
        <w:numPr>
          <w:ilvl w:val="1"/>
          <w:numId w:val="25"/>
        </w:numPr>
        <w:spacing w:after="0" w:line="240" w:lineRule="auto"/>
        <w:ind w:left="1080"/>
      </w:pPr>
      <w:r>
        <w:t xml:space="preserve">When gNB operates as an initiating device </w:t>
      </w:r>
    </w:p>
    <w:p w14:paraId="6ED8D108" w14:textId="77777777" w:rsidR="008953BA" w:rsidRDefault="008953BA" w:rsidP="008953BA">
      <w:pPr>
        <w:numPr>
          <w:ilvl w:val="2"/>
          <w:numId w:val="25"/>
        </w:numPr>
        <w:spacing w:after="0" w:line="240" w:lineRule="auto"/>
        <w:ind w:left="1800"/>
        <w:rPr>
          <w:lang w:eastAsia="zh-CN"/>
        </w:rPr>
      </w:pPr>
      <w:r>
        <w:t xml:space="preserve">The gNB is not allowed to transmit during the idle period of any FFP associated with the gNB in which the </w:t>
      </w:r>
      <w:proofErr w:type="spellStart"/>
      <w:r>
        <w:t>gNB</w:t>
      </w:r>
      <w:proofErr w:type="spellEnd"/>
      <w:r>
        <w:t xml:space="preserve"> </w:t>
      </w:r>
      <w:proofErr w:type="spellStart"/>
      <w:r>
        <w:t>initates</w:t>
      </w:r>
      <w:proofErr w:type="spellEnd"/>
      <w:r>
        <w:t xml:space="preserve"> a COT</w:t>
      </w:r>
    </w:p>
    <w:p w14:paraId="0ED81878" w14:textId="77777777" w:rsidR="008953BA" w:rsidRDefault="008953BA" w:rsidP="008953BA">
      <w:pPr>
        <w:numPr>
          <w:ilvl w:val="1"/>
          <w:numId w:val="25"/>
        </w:numPr>
        <w:spacing w:after="0" w:line="240" w:lineRule="auto"/>
        <w:ind w:left="1080"/>
      </w:pPr>
      <w:r>
        <w:t xml:space="preserve">When a UE operates as an initiating device </w:t>
      </w:r>
    </w:p>
    <w:p w14:paraId="132F711D" w14:textId="77777777" w:rsidR="008953BA" w:rsidRDefault="008953BA" w:rsidP="008953BA">
      <w:pPr>
        <w:numPr>
          <w:ilvl w:val="2"/>
          <w:numId w:val="25"/>
        </w:numPr>
        <w:spacing w:after="0" w:line="240" w:lineRule="auto"/>
        <w:ind w:left="1800"/>
      </w:pPr>
      <w:r>
        <w:t xml:space="preserve">The UE is not allowed to transmit during the idle period of any FFP associated with the UE in which the UE </w:t>
      </w:r>
      <w:proofErr w:type="spellStart"/>
      <w:r>
        <w:t>initates</w:t>
      </w:r>
      <w:proofErr w:type="spellEnd"/>
      <w:r>
        <w:t xml:space="preserve"> a COT</w:t>
      </w:r>
    </w:p>
    <w:p w14:paraId="1E131DE2" w14:textId="77777777" w:rsidR="008953BA" w:rsidRDefault="008953BA" w:rsidP="008953BA">
      <w:pPr>
        <w:numPr>
          <w:ilvl w:val="1"/>
          <w:numId w:val="25"/>
        </w:numPr>
        <w:spacing w:after="0" w:line="240" w:lineRule="auto"/>
        <w:ind w:left="1080"/>
      </w:pPr>
      <w:r>
        <w:t>When a UE shares a COT initiated by the gNB during an FFP associated with the gNB</w:t>
      </w:r>
    </w:p>
    <w:p w14:paraId="5E6E315B" w14:textId="77777777" w:rsidR="008953BA" w:rsidRDefault="008953BA" w:rsidP="008953BA">
      <w:pPr>
        <w:numPr>
          <w:ilvl w:val="2"/>
          <w:numId w:val="25"/>
        </w:numPr>
        <w:spacing w:after="0" w:line="240" w:lineRule="auto"/>
        <w:ind w:left="1800"/>
      </w:pPr>
      <w:r>
        <w:t>The UE is not allowed to transmit during the idle period of that FFP in which the UE shares the COT initiated by the gNB</w:t>
      </w:r>
    </w:p>
    <w:p w14:paraId="44684A1F" w14:textId="77777777" w:rsidR="008953BA" w:rsidRDefault="008953BA" w:rsidP="008953BA">
      <w:pPr>
        <w:numPr>
          <w:ilvl w:val="1"/>
          <w:numId w:val="25"/>
        </w:numPr>
        <w:spacing w:after="0" w:line="240" w:lineRule="auto"/>
        <w:ind w:left="1080"/>
      </w:pPr>
      <w:r>
        <w:t>When the gNB shares a COT initiated by a UE during an FFP associated with the UE</w:t>
      </w:r>
    </w:p>
    <w:p w14:paraId="6FF06DD6" w14:textId="77777777" w:rsidR="008953BA" w:rsidRDefault="008953BA" w:rsidP="008953BA">
      <w:pPr>
        <w:numPr>
          <w:ilvl w:val="2"/>
          <w:numId w:val="25"/>
        </w:numPr>
        <w:spacing w:after="0" w:line="240" w:lineRule="auto"/>
        <w:ind w:left="1800"/>
      </w:pPr>
      <w:r>
        <w:t xml:space="preserve">The gNB is not allowed to transmit during the idle period of that </w:t>
      </w:r>
      <w:r>
        <w:rPr>
          <w:strike/>
        </w:rPr>
        <w:t>the</w:t>
      </w:r>
      <w:r>
        <w:t xml:space="preserve"> FFP in which the gNB shares the COT initiated by the UE</w:t>
      </w:r>
    </w:p>
    <w:p w14:paraId="75B29E21" w14:textId="77777777" w:rsidR="008953BA" w:rsidRDefault="008953BA" w:rsidP="008953BA">
      <w:pPr>
        <w:numPr>
          <w:ilvl w:val="1"/>
          <w:numId w:val="25"/>
        </w:numPr>
        <w:spacing w:after="0" w:line="240" w:lineRule="auto"/>
        <w:ind w:left="1080"/>
      </w:pPr>
      <w:r>
        <w:t>FFS whether/how to support additional restrictions to the idle period</w:t>
      </w:r>
    </w:p>
    <w:p w14:paraId="60694DB3" w14:textId="77777777" w:rsidR="008953BA" w:rsidRDefault="008953BA" w:rsidP="008953BA">
      <w:pPr>
        <w:pStyle w:val="ListParagraph"/>
        <w:spacing w:after="180"/>
        <w:ind w:left="0"/>
        <w:contextualSpacing/>
      </w:pPr>
    </w:p>
    <w:p w14:paraId="42D6B3A7" w14:textId="77777777" w:rsidR="008953BA" w:rsidRDefault="008953BA" w:rsidP="008953BA">
      <w:pPr>
        <w:pStyle w:val="ListParagraph"/>
        <w:spacing w:after="180"/>
        <w:ind w:left="0"/>
        <w:contextualSpacing/>
        <w:rPr>
          <w:highlight w:val="green"/>
        </w:rPr>
      </w:pPr>
      <w:r>
        <w:rPr>
          <w:highlight w:val="green"/>
        </w:rPr>
        <w:t>Agreements:</w:t>
      </w:r>
    </w:p>
    <w:p w14:paraId="41B6EF86" w14:textId="77777777" w:rsidR="008953BA" w:rsidRDefault="008953BA" w:rsidP="008953BA">
      <w:pPr>
        <w:numPr>
          <w:ilvl w:val="0"/>
          <w:numId w:val="26"/>
        </w:numPr>
        <w:spacing w:after="0" w:line="240" w:lineRule="auto"/>
      </w:pPr>
      <w:r>
        <w:t>For semi-static channel access mode, support using the transmission of any scheduled/configured UL channel/signal to initiate a COT by a UE in RRC_CONNECTED mode</w:t>
      </w:r>
    </w:p>
    <w:p w14:paraId="220FCA10" w14:textId="77777777" w:rsidR="008953BA" w:rsidRDefault="008953BA" w:rsidP="008953BA">
      <w:pPr>
        <w:numPr>
          <w:ilvl w:val="1"/>
          <w:numId w:val="26"/>
        </w:numPr>
        <w:spacing w:after="0" w:line="240" w:lineRule="auto"/>
      </w:pPr>
      <w:r>
        <w:t>FFS the case when the UE is IDLE/INACTIVE mode</w:t>
      </w:r>
    </w:p>
    <w:p w14:paraId="52C78E3F" w14:textId="77777777" w:rsidR="008953BA" w:rsidRDefault="008953BA" w:rsidP="008953BA">
      <w:pPr>
        <w:pStyle w:val="ListParagraph"/>
        <w:spacing w:after="180"/>
        <w:ind w:left="0"/>
        <w:contextualSpacing/>
      </w:pPr>
    </w:p>
    <w:p w14:paraId="4CA8D6D6" w14:textId="77777777" w:rsidR="008953BA" w:rsidRDefault="008953BA" w:rsidP="008953BA">
      <w:pPr>
        <w:pStyle w:val="ListParagraph"/>
        <w:spacing w:after="180"/>
        <w:ind w:left="0"/>
        <w:contextualSpacing/>
      </w:pPr>
      <w:r>
        <w:rPr>
          <w:highlight w:val="green"/>
        </w:rPr>
        <w:lastRenderedPageBreak/>
        <w:t>Agreements</w:t>
      </w:r>
      <w:r>
        <w:t>:</w:t>
      </w:r>
    </w:p>
    <w:p w14:paraId="0446A251" w14:textId="77777777" w:rsidR="008953BA" w:rsidRDefault="008953BA" w:rsidP="008953BA">
      <w:pPr>
        <w:numPr>
          <w:ilvl w:val="0"/>
          <w:numId w:val="27"/>
        </w:numPr>
        <w:spacing w:after="0" w:line="240" w:lineRule="auto"/>
      </w:pPr>
      <w:r>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6C280745" w14:textId="77777777" w:rsidR="00DA7660" w:rsidRDefault="00DA7660" w:rsidP="008953BA">
      <w:pPr>
        <w:pStyle w:val="ListParagraph"/>
        <w:spacing w:after="180"/>
        <w:ind w:left="0"/>
        <w:contextualSpacing/>
      </w:pPr>
    </w:p>
    <w:p w14:paraId="7E6E198C" w14:textId="77777777" w:rsidR="008953BA" w:rsidRDefault="008953BA" w:rsidP="008953BA">
      <w:pPr>
        <w:pStyle w:val="ListParagraph"/>
        <w:spacing w:after="180"/>
        <w:ind w:left="0"/>
        <w:contextualSpacing/>
        <w:rPr>
          <w:highlight w:val="green"/>
        </w:rPr>
      </w:pPr>
      <w:r>
        <w:rPr>
          <w:highlight w:val="green"/>
        </w:rPr>
        <w:t>Agreements:</w:t>
      </w:r>
    </w:p>
    <w:p w14:paraId="60D71D06" w14:textId="77777777" w:rsidR="008953BA" w:rsidRDefault="008953BA" w:rsidP="008953BA">
      <w:pPr>
        <w:numPr>
          <w:ilvl w:val="0"/>
          <w:numId w:val="29"/>
        </w:numPr>
        <w:spacing w:after="0" w:line="240" w:lineRule="auto"/>
      </w:pPr>
      <w:r>
        <w:t>Conditions on the channel access procedures with respect to sensing duration and transmission gap for UE-initiated COT with UE-to-gNB COT sharing is similar as those for gNB initiated COT and gNB-to-UE COT sharing in Rel-16 by exchanging UE and gNB roles.</w:t>
      </w:r>
    </w:p>
    <w:p w14:paraId="5E67695B" w14:textId="77777777" w:rsidR="00157CB5" w:rsidRDefault="00157CB5" w:rsidP="008953BA">
      <w:pPr>
        <w:pStyle w:val="ListParagraph"/>
        <w:spacing w:after="180"/>
        <w:ind w:left="0"/>
        <w:contextualSpacing/>
        <w:rPr>
          <w:sz w:val="20"/>
          <w:highlight w:val="green"/>
        </w:rPr>
      </w:pPr>
    </w:p>
    <w:p w14:paraId="3781511D" w14:textId="731DEF04" w:rsidR="008953BA" w:rsidRDefault="008953BA" w:rsidP="008953BA">
      <w:pPr>
        <w:pStyle w:val="ListParagraph"/>
        <w:spacing w:after="180"/>
        <w:ind w:left="0"/>
        <w:contextualSpacing/>
        <w:rPr>
          <w:sz w:val="20"/>
          <w:highlight w:val="green"/>
        </w:rPr>
      </w:pPr>
      <w:r>
        <w:rPr>
          <w:sz w:val="20"/>
          <w:highlight w:val="green"/>
        </w:rPr>
        <w:t>Agreements:</w:t>
      </w:r>
    </w:p>
    <w:p w14:paraId="77118885" w14:textId="77777777" w:rsidR="008953BA" w:rsidRDefault="008953BA" w:rsidP="008953BA">
      <w:pPr>
        <w:numPr>
          <w:ilvl w:val="0"/>
          <w:numId w:val="27"/>
        </w:numPr>
        <w:spacing w:after="0" w:line="240" w:lineRule="auto"/>
      </w:pPr>
      <w:r>
        <w:t>UE-to- gNB COT sharing in semi-static channel access mode is supported.</w:t>
      </w:r>
    </w:p>
    <w:p w14:paraId="76AF3EFD" w14:textId="77777777" w:rsidR="008953BA" w:rsidRDefault="008953BA" w:rsidP="008953BA">
      <w:pPr>
        <w:numPr>
          <w:ilvl w:val="1"/>
          <w:numId w:val="27"/>
        </w:numPr>
        <w:spacing w:after="0" w:line="240" w:lineRule="auto"/>
      </w:pPr>
      <w:r>
        <w:t>The gNB determines a COT in an FFP associated to a UE, that is initiated by the UE, if the gNB detects a UL transmission from the UE starting from the beginning of the FFP and ending before the idle period of the FFP.</w:t>
      </w:r>
    </w:p>
    <w:p w14:paraId="3C1066AC" w14:textId="77777777" w:rsidR="008953BA" w:rsidRDefault="008953BA" w:rsidP="008953BA">
      <w:pPr>
        <w:numPr>
          <w:ilvl w:val="2"/>
          <w:numId w:val="27"/>
        </w:numPr>
        <w:spacing w:after="0" w:line="240" w:lineRule="auto"/>
      </w:pPr>
      <w:r>
        <w:t>FFS details</w:t>
      </w:r>
    </w:p>
    <w:p w14:paraId="5C3FAA93" w14:textId="77777777" w:rsidR="008953BA" w:rsidRDefault="008953BA" w:rsidP="008953BA">
      <w:pPr>
        <w:numPr>
          <w:ilvl w:val="1"/>
          <w:numId w:val="27"/>
        </w:numPr>
        <w:spacing w:after="0" w:line="240" w:lineRule="auto"/>
      </w:pPr>
      <w:r>
        <w:t>When the gNB determines a UE has initiated a COT in an FFP associated to the UE, the gNB can transmit within the FFP and before the idle period corresponding to the FFP.</w:t>
      </w:r>
    </w:p>
    <w:p w14:paraId="117FBE4B" w14:textId="77777777" w:rsidR="008953BA" w:rsidRDefault="008953BA" w:rsidP="008953BA">
      <w:pPr>
        <w:numPr>
          <w:ilvl w:val="2"/>
          <w:numId w:val="27"/>
        </w:numPr>
        <w:spacing w:after="0" w:line="240" w:lineRule="auto"/>
      </w:pPr>
      <w:r>
        <w:t>FFS whether/how UE to gNB COT sharing when the gap is &gt;16us</w:t>
      </w:r>
    </w:p>
    <w:p w14:paraId="18A19F02" w14:textId="77777777" w:rsidR="00DA7660" w:rsidRDefault="00DA7660" w:rsidP="008953BA">
      <w:pPr>
        <w:pStyle w:val="xmsonormal"/>
        <w:shd w:val="clear" w:color="auto" w:fill="FFFFFF"/>
        <w:ind w:left="360" w:hanging="360"/>
        <w:rPr>
          <w:rFonts w:ascii="Arial" w:hAnsi="Arial" w:cs="Arial"/>
          <w:color w:val="7030A0"/>
          <w:sz w:val="20"/>
          <w:highlight w:val="green"/>
          <w:bdr w:val="none" w:sz="0" w:space="0" w:color="auto" w:frame="1"/>
        </w:rPr>
      </w:pPr>
      <w:bookmarkStart w:id="2" w:name="_Hlk49462189"/>
    </w:p>
    <w:p w14:paraId="7FEAF528" w14:textId="56ABD1EF" w:rsidR="008953BA" w:rsidRPr="00C9180D" w:rsidRDefault="008953BA" w:rsidP="008953BA">
      <w:pPr>
        <w:pStyle w:val="xmsonormal"/>
        <w:shd w:val="clear" w:color="auto" w:fill="FFFFFF"/>
        <w:ind w:left="360" w:hanging="360"/>
        <w:rPr>
          <w:rFonts w:ascii="Arial" w:hAnsi="Arial" w:cs="Arial"/>
          <w:color w:val="7030A0"/>
          <w:sz w:val="20"/>
          <w:bdr w:val="none" w:sz="0" w:space="0" w:color="auto" w:frame="1"/>
        </w:rPr>
      </w:pPr>
      <w:r w:rsidRPr="00C9180D">
        <w:rPr>
          <w:rFonts w:ascii="Arial" w:hAnsi="Arial" w:cs="Arial"/>
          <w:color w:val="7030A0"/>
          <w:sz w:val="20"/>
          <w:highlight w:val="green"/>
          <w:bdr w:val="none" w:sz="0" w:space="0" w:color="auto" w:frame="1"/>
        </w:rPr>
        <w:t>Agreements</w:t>
      </w:r>
      <w:r w:rsidRPr="00C9180D">
        <w:rPr>
          <w:rFonts w:ascii="Arial" w:hAnsi="Arial" w:cs="Arial"/>
          <w:color w:val="7030A0"/>
          <w:sz w:val="20"/>
          <w:bdr w:val="none" w:sz="0" w:space="0" w:color="auto" w:frame="1"/>
        </w:rPr>
        <w:t>:</w:t>
      </w:r>
    </w:p>
    <w:bookmarkEnd w:id="2"/>
    <w:p w14:paraId="73CBFA43" w14:textId="77777777" w:rsidR="008953BA" w:rsidRPr="00C9180D" w:rsidRDefault="008953BA" w:rsidP="008953BA">
      <w:pPr>
        <w:pStyle w:val="xmsonormal"/>
        <w:shd w:val="clear" w:color="auto" w:fill="FFFFFF"/>
        <w:ind w:left="360" w:hanging="360"/>
        <w:rPr>
          <w:rFonts w:ascii="Arial" w:hAnsi="Arial" w:cs="Arial"/>
          <w:color w:val="000000"/>
          <w:sz w:val="20"/>
        </w:rPr>
      </w:pPr>
      <w:r w:rsidRPr="00C9180D">
        <w:rPr>
          <w:rFonts w:ascii="Arial" w:hAnsi="Arial" w:cs="Arial"/>
          <w:color w:val="000000"/>
          <w:sz w:val="20"/>
          <w:bdr w:val="none" w:sz="0" w:space="0" w:color="auto" w:frame="1"/>
        </w:rPr>
        <w:t>For semi-static channel access mode,</w:t>
      </w:r>
      <w:r w:rsidRPr="00C9180D">
        <w:rPr>
          <w:rFonts w:ascii="Arial" w:hAnsi="Arial" w:cs="Arial"/>
          <w:color w:val="000000"/>
          <w:sz w:val="20"/>
        </w:rPr>
        <w:t> </w:t>
      </w:r>
    </w:p>
    <w:p w14:paraId="734CCA8E" w14:textId="77777777" w:rsidR="008953BA" w:rsidRPr="00C9180D" w:rsidRDefault="008953BA" w:rsidP="008953BA">
      <w:pPr>
        <w:pStyle w:val="xmsonormal"/>
        <w:shd w:val="clear" w:color="auto" w:fill="FFFFFF"/>
        <w:ind w:left="720" w:hanging="360"/>
        <w:rPr>
          <w:rFonts w:ascii="Arial" w:hAnsi="Arial" w:cs="Arial"/>
          <w:color w:val="000000"/>
          <w:sz w:val="20"/>
        </w:rPr>
      </w:pPr>
      <w:r w:rsidRPr="00C9180D">
        <w:rPr>
          <w:rFonts w:ascii="Arial" w:hAnsi="Arial" w:cs="Arial"/>
          <w:color w:val="000000"/>
          <w:sz w:val="20"/>
          <w:bdr w:val="none" w:sz="0" w:space="0" w:color="auto" w:frame="1"/>
        </w:rPr>
        <w:t>o    Start of FFP for UE-initiated COT can be different from the start of FFP for gNB-initiated COT.</w:t>
      </w:r>
      <w:r w:rsidRPr="00C9180D">
        <w:rPr>
          <w:rFonts w:ascii="Arial" w:hAnsi="Arial" w:cs="Arial"/>
          <w:color w:val="000000"/>
          <w:sz w:val="20"/>
        </w:rPr>
        <w:t> </w:t>
      </w:r>
    </w:p>
    <w:p w14:paraId="6403B147" w14:textId="77777777" w:rsidR="008953BA" w:rsidRPr="00C9180D" w:rsidRDefault="008953BA" w:rsidP="008953BA">
      <w:pPr>
        <w:pStyle w:val="xmsonormal"/>
        <w:shd w:val="clear" w:color="auto" w:fill="FFFFFF"/>
        <w:ind w:left="720" w:hanging="360"/>
        <w:rPr>
          <w:rFonts w:ascii="Arial" w:hAnsi="Arial" w:cs="Arial"/>
          <w:color w:val="000000"/>
          <w:sz w:val="20"/>
        </w:rPr>
      </w:pPr>
      <w:r w:rsidRPr="00C9180D">
        <w:rPr>
          <w:rFonts w:ascii="Arial" w:hAnsi="Arial" w:cs="Arial"/>
          <w:color w:val="000000"/>
          <w:sz w:val="20"/>
          <w:bdr w:val="none" w:sz="0" w:space="0" w:color="auto" w:frame="1"/>
        </w:rPr>
        <w:t>o    FFS: FFP Periodicity for UE-initiated COT can be different from the FFP periodicity for gNB-initiated COT.</w:t>
      </w:r>
      <w:r w:rsidRPr="00C9180D">
        <w:rPr>
          <w:rFonts w:ascii="Arial" w:hAnsi="Arial" w:cs="Arial"/>
          <w:color w:val="000000"/>
          <w:sz w:val="20"/>
        </w:rPr>
        <w:t> </w:t>
      </w:r>
    </w:p>
    <w:p w14:paraId="7CB4EF32" w14:textId="77777777" w:rsidR="008953BA" w:rsidRPr="00C9180D" w:rsidRDefault="008953BA" w:rsidP="008953BA">
      <w:pPr>
        <w:rPr>
          <w:rFonts w:cs="Arial"/>
          <w:strike/>
          <w:color w:val="FF0000"/>
          <w:sz w:val="28"/>
          <w:szCs w:val="28"/>
        </w:rPr>
      </w:pPr>
    </w:p>
    <w:p w14:paraId="44493B6A" w14:textId="77777777" w:rsidR="008953BA" w:rsidRDefault="008953BA" w:rsidP="008953BA">
      <w:pPr>
        <w:pStyle w:val="xmsonormal"/>
        <w:shd w:val="clear" w:color="auto" w:fill="FFFFFF"/>
        <w:ind w:left="360" w:hanging="360"/>
        <w:rPr>
          <w:rFonts w:ascii="Times New Roman" w:hAnsi="Times New Roman" w:cs="Times New Roman"/>
          <w:color w:val="7030A0"/>
          <w:sz w:val="20"/>
          <w:bdr w:val="none" w:sz="0" w:space="0" w:color="auto" w:frame="1"/>
        </w:rPr>
      </w:pPr>
      <w:r>
        <w:rPr>
          <w:rFonts w:ascii="Times New Roman" w:hAnsi="Times New Roman" w:cs="Times New Roman"/>
          <w:color w:val="7030A0"/>
          <w:sz w:val="20"/>
          <w:highlight w:val="green"/>
          <w:bdr w:val="none" w:sz="0" w:space="0" w:color="auto" w:frame="1"/>
        </w:rPr>
        <w:t>Agreements</w:t>
      </w:r>
      <w:r>
        <w:rPr>
          <w:rFonts w:ascii="Times New Roman" w:hAnsi="Times New Roman" w:cs="Times New Roman"/>
          <w:color w:val="7030A0"/>
          <w:sz w:val="20"/>
          <w:bdr w:val="none" w:sz="0" w:space="0" w:color="auto" w:frame="1"/>
        </w:rPr>
        <w:t>:</w:t>
      </w:r>
    </w:p>
    <w:p w14:paraId="48791ADD" w14:textId="77777777" w:rsidR="008953BA" w:rsidRDefault="008953BA" w:rsidP="008953BA">
      <w:pPr>
        <w:numPr>
          <w:ilvl w:val="0"/>
          <w:numId w:val="30"/>
        </w:numPr>
        <w:spacing w:after="0" w:line="240" w:lineRule="auto"/>
        <w:rPr>
          <w:rFonts w:ascii="Calibri" w:hAnsi="Calibri" w:cs="Calibri"/>
          <w:sz w:val="22"/>
        </w:rPr>
      </w:pPr>
      <w:r>
        <w:t>For semi-static channel access mode,</w:t>
      </w:r>
    </w:p>
    <w:p w14:paraId="69086374" w14:textId="77777777" w:rsidR="008953BA" w:rsidRDefault="008953BA" w:rsidP="008953BA">
      <w:pPr>
        <w:numPr>
          <w:ilvl w:val="0"/>
          <w:numId w:val="31"/>
        </w:numPr>
        <w:spacing w:after="0" w:line="240" w:lineRule="auto"/>
      </w:pPr>
      <w:r>
        <w:t xml:space="preserve">FFP parameters for UE-initiated COT can be provided to the UE by at least dedicated RRC signaling. </w:t>
      </w:r>
    </w:p>
    <w:p w14:paraId="01DC4AD0" w14:textId="77777777" w:rsidR="008953BA" w:rsidRDefault="008953BA" w:rsidP="008953BA">
      <w:pPr>
        <w:numPr>
          <w:ilvl w:val="1"/>
          <w:numId w:val="31"/>
        </w:numPr>
        <w:spacing w:after="0" w:line="240" w:lineRule="auto"/>
      </w:pPr>
      <w:r>
        <w:t>FFS on to be provided by SIB-1</w:t>
      </w:r>
    </w:p>
    <w:p w14:paraId="7B2EAFBA" w14:textId="77777777" w:rsidR="008953BA" w:rsidRDefault="008953BA" w:rsidP="008953BA">
      <w:pPr>
        <w:numPr>
          <w:ilvl w:val="0"/>
          <w:numId w:val="31"/>
        </w:numPr>
        <w:spacing w:after="0" w:line="240" w:lineRule="auto"/>
      </w:pPr>
      <w:r>
        <w:t>FFS whether the UE FFP periodicity is explicitly configured, or implicitly determined based on other higher layer parameters</w:t>
      </w:r>
    </w:p>
    <w:p w14:paraId="5A3A4FB5" w14:textId="77777777" w:rsidR="00DA7660" w:rsidRDefault="00DA7660" w:rsidP="00DA7660">
      <w:pPr>
        <w:pStyle w:val="ListParagraph"/>
        <w:spacing w:after="180"/>
        <w:ind w:left="0"/>
        <w:contextualSpacing/>
        <w:rPr>
          <w:b/>
          <w:bCs/>
          <w:u w:val="single"/>
        </w:rPr>
      </w:pPr>
    </w:p>
    <w:p w14:paraId="22F3E1A7" w14:textId="77777777" w:rsidR="00DA7660" w:rsidRDefault="00DA7660" w:rsidP="00DA7660">
      <w:pPr>
        <w:pStyle w:val="ListParagraph"/>
        <w:spacing w:after="180"/>
        <w:ind w:left="0"/>
        <w:contextualSpacing/>
        <w:rPr>
          <w:highlight w:val="green"/>
        </w:rPr>
      </w:pPr>
      <w:r>
        <w:rPr>
          <w:highlight w:val="green"/>
        </w:rPr>
        <w:t>Agreements:</w:t>
      </w:r>
    </w:p>
    <w:p w14:paraId="012482FD" w14:textId="77777777" w:rsidR="00DA7660" w:rsidRDefault="00DA7660" w:rsidP="00DA7660">
      <w:pPr>
        <w:numPr>
          <w:ilvl w:val="0"/>
          <w:numId w:val="28"/>
        </w:numPr>
        <w:spacing w:after="0" w:line="240" w:lineRule="auto"/>
      </w:pPr>
      <w:r>
        <w:t>At least for FBE, configuration of (</w:t>
      </w:r>
      <w:r>
        <w:rPr>
          <w:i/>
          <w:iCs/>
        </w:rPr>
        <w:t>cg-RetransmissionTimer</w:t>
      </w:r>
      <w:r>
        <w:t>) should not be mandated when configured grant Type 1 or Type 2 are configured on unlicensed spectrum.</w:t>
      </w:r>
    </w:p>
    <w:p w14:paraId="2885755B" w14:textId="77777777" w:rsidR="00DA7660" w:rsidRPr="00DA7660" w:rsidRDefault="00DA7660" w:rsidP="00DA7660">
      <w:pPr>
        <w:pStyle w:val="ListParagraph"/>
        <w:spacing w:after="180"/>
        <w:ind w:left="0"/>
        <w:contextualSpacing/>
        <w:rPr>
          <w:b/>
          <w:bCs/>
          <w:u w:val="single"/>
          <w:lang w:val="en-US"/>
        </w:rPr>
      </w:pPr>
    </w:p>
    <w:p w14:paraId="5FC15B18" w14:textId="2DC98F26" w:rsidR="00DA7660" w:rsidRDefault="00DA7660" w:rsidP="00DA7660">
      <w:pPr>
        <w:pStyle w:val="ListParagraph"/>
        <w:spacing w:after="180"/>
        <w:ind w:left="0"/>
        <w:contextualSpacing/>
        <w:rPr>
          <w:b/>
          <w:bCs/>
          <w:u w:val="single"/>
        </w:rPr>
      </w:pPr>
      <w:r>
        <w:rPr>
          <w:b/>
          <w:bCs/>
          <w:u w:val="single"/>
        </w:rPr>
        <w:t>Conclusion:</w:t>
      </w:r>
    </w:p>
    <w:p w14:paraId="0A2FEADF" w14:textId="6358684F" w:rsidR="008953BA" w:rsidRDefault="00DA7660" w:rsidP="00DA7660">
      <w:pPr>
        <w:pStyle w:val="ListParagraph"/>
        <w:spacing w:after="180"/>
        <w:ind w:left="0"/>
        <w:contextualSpacing/>
      </w:pPr>
      <w:r>
        <w:t xml:space="preserve">Further study and decide how to harmonize the CG features for Rel-16 URLLC and Rel-16 NR-U. Table 1 in </w:t>
      </w:r>
      <w:hyperlink r:id="rId11" w:history="1">
        <w:r>
          <w:rPr>
            <w:rStyle w:val="Hyperlink"/>
          </w:rPr>
          <w:t>R1-2005376</w:t>
        </w:r>
      </w:hyperlink>
      <w:r>
        <w:t xml:space="preserve"> can be used as a starting point for the corresponding discussion and decision.</w:t>
      </w:r>
    </w:p>
    <w:p w14:paraId="08E37B4C" w14:textId="7F7EDC4A" w:rsidR="00DB0376" w:rsidRPr="00CE0424" w:rsidRDefault="008953BA" w:rsidP="00CE0424">
      <w:pPr>
        <w:pStyle w:val="BodyText"/>
      </w:pPr>
      <w:r>
        <w:t>In this con</w:t>
      </w:r>
      <w:r w:rsidR="00622BAC">
        <w:t xml:space="preserve">tribution we address the remaining issues with respect to channel access and harmonization of </w:t>
      </w:r>
      <w:r w:rsidR="00797529">
        <w:t xml:space="preserve">features for </w:t>
      </w:r>
      <w:r w:rsidR="00622BAC">
        <w:t>U</w:t>
      </w:r>
      <w:r w:rsidR="00797529">
        <w:t>L</w:t>
      </w:r>
      <w:r w:rsidR="00622BAC">
        <w:t xml:space="preserve"> CG</w:t>
      </w:r>
      <w:r w:rsidR="00DA7660">
        <w:t xml:space="preserve"> for operation on unlicensed bands</w:t>
      </w:r>
      <w:r w:rsidR="00622BAC">
        <w:t>.</w:t>
      </w:r>
    </w:p>
    <w:p w14:paraId="60123794" w14:textId="6CDC40E7" w:rsidR="004000E8" w:rsidRDefault="00230D18" w:rsidP="00CE0424">
      <w:pPr>
        <w:pStyle w:val="Heading1"/>
      </w:pPr>
      <w:bookmarkStart w:id="3" w:name="_Ref178064866"/>
      <w:r>
        <w:lastRenderedPageBreak/>
        <w:t>2</w:t>
      </w:r>
      <w:r>
        <w:tab/>
      </w:r>
      <w:r w:rsidR="004000E8" w:rsidRPr="00CE0424">
        <w:t>Discussion</w:t>
      </w:r>
      <w:bookmarkEnd w:id="3"/>
    </w:p>
    <w:p w14:paraId="58B2E071" w14:textId="64614AC9" w:rsidR="00D9745B" w:rsidRDefault="00D9745B" w:rsidP="00D9745B">
      <w:pPr>
        <w:pStyle w:val="Heading2"/>
      </w:pPr>
      <w:r>
        <w:t>2.1</w:t>
      </w:r>
      <w:r>
        <w:tab/>
        <w:t>Channel access procedures</w:t>
      </w:r>
    </w:p>
    <w:p w14:paraId="037EFBC2" w14:textId="790CC302" w:rsidR="00CE1306" w:rsidRPr="00CE1306" w:rsidRDefault="00CE1306" w:rsidP="00CE1306">
      <w:pPr>
        <w:pStyle w:val="Heading3"/>
      </w:pPr>
      <w:r>
        <w:t>2.1.1</w:t>
      </w:r>
      <w:r>
        <w:tab/>
        <w:t>General view</w:t>
      </w:r>
    </w:p>
    <w:p w14:paraId="312024FD" w14:textId="51CCC489" w:rsidR="005F1ED9" w:rsidRDefault="006B3AE6" w:rsidP="008953BA">
      <w:r w:rsidRPr="005F1ED9">
        <w:rPr>
          <w:rFonts w:eastAsia="SimSun" w:cs="Arial"/>
          <w:szCs w:val="20"/>
        </w:rPr>
        <w:t xml:space="preserve">Enabling UE-initiated COT is crucial for improving UL as well as DL performance. The configuration, applicability and management of gNB and UE initiated COTs are up to the gNB. Since different UEs would experience different DL/UL transmissions, the gNB needs flexibility to assign UE FFP parameters in addition to gNB FFP parameter properly such that the traffic demands are met. </w:t>
      </w:r>
      <w:r w:rsidR="005F1ED9" w:rsidRPr="005F1ED9">
        <w:t>From our point of view,</w:t>
      </w:r>
      <w:r>
        <w:t xml:space="preserve"> with respect to UE-initiated COT design,</w:t>
      </w:r>
      <w:r w:rsidR="005F1ED9" w:rsidRPr="005F1ED9">
        <w:t xml:space="preserve"> there is no justification that 3GPP specifications impose restrictions on these parameters and limit NR operation on unlicensed where the restrictions are not justified</w:t>
      </w:r>
      <w:r w:rsidR="005F1ED9">
        <w:t xml:space="preserve"> neither by</w:t>
      </w:r>
      <w:r w:rsidR="005F1ED9" w:rsidRPr="005F1ED9">
        <w:t xml:space="preserve"> regula</w:t>
      </w:r>
      <w:r w:rsidR="005F1ED9">
        <w:t>tions n</w:t>
      </w:r>
      <w:r w:rsidR="005F1ED9" w:rsidRPr="005F1ED9">
        <w:t>or implementation. 3GPP should provide enough flexibility in design and avoid unnecessar</w:t>
      </w:r>
      <w:r w:rsidR="00444892">
        <w:t>il</w:t>
      </w:r>
      <w:r w:rsidR="005F1ED9" w:rsidRPr="005F1ED9">
        <w:t>y compromising NR operation by design.</w:t>
      </w:r>
    </w:p>
    <w:p w14:paraId="09B72731" w14:textId="620B818A" w:rsidR="006B3AE6" w:rsidRPr="00ED1487" w:rsidRDefault="006B3AE6" w:rsidP="006B3AE6">
      <w:pPr>
        <w:pStyle w:val="Observation"/>
      </w:pPr>
      <w:bookmarkStart w:id="4" w:name="_Toc54411789"/>
      <w:r w:rsidRPr="00ED1487">
        <w:t xml:space="preserve">Any restriction </w:t>
      </w:r>
      <w:r>
        <w:t>on UE-initiated COT design</w:t>
      </w:r>
      <w:r w:rsidRPr="00ED1487">
        <w:t xml:space="preserve"> should be strongly just</w:t>
      </w:r>
      <w:r>
        <w:t>i</w:t>
      </w:r>
      <w:r w:rsidRPr="00ED1487">
        <w:t>fied to avoid compromising NR operation in un</w:t>
      </w:r>
      <w:r>
        <w:t>licensed</w:t>
      </w:r>
      <w:r w:rsidRPr="00ED1487">
        <w:t xml:space="preserve"> bands</w:t>
      </w:r>
      <w:bookmarkEnd w:id="4"/>
    </w:p>
    <w:p w14:paraId="31FA6309" w14:textId="77777777" w:rsidR="005F1ED9" w:rsidRPr="005F1ED9" w:rsidRDefault="005F1ED9" w:rsidP="00ED1487">
      <w:pPr>
        <w:pStyle w:val="Default"/>
        <w:rPr>
          <w:lang w:val="en-US"/>
        </w:rPr>
      </w:pPr>
    </w:p>
    <w:p w14:paraId="13CAC12B" w14:textId="7BACD9CB" w:rsidR="00CE1306" w:rsidRDefault="00CE1306" w:rsidP="00CE1306">
      <w:pPr>
        <w:pStyle w:val="Heading3"/>
      </w:pPr>
      <w:r>
        <w:t>2.1.2</w:t>
      </w:r>
      <w:r>
        <w:tab/>
        <w:t>UE-initiated COT FFP parameters and signalling</w:t>
      </w:r>
    </w:p>
    <w:p w14:paraId="1DCACCF1" w14:textId="3C0070CB" w:rsidR="00E109CE" w:rsidRPr="00444308" w:rsidRDefault="00E109CE" w:rsidP="00444308">
      <w:pPr>
        <w:rPr>
          <w:rStyle w:val="B1Zchn"/>
        </w:rPr>
      </w:pPr>
      <w:r w:rsidRPr="00444308">
        <w:rPr>
          <w:rStyle w:val="B1Zchn"/>
        </w:rPr>
        <w:t>It was agreed that offset of FFP for UE-initiated C</w:t>
      </w:r>
      <w:r w:rsidR="005F1ED9" w:rsidRPr="00444308">
        <w:rPr>
          <w:rStyle w:val="B1Zchn"/>
        </w:rPr>
        <w:t>OT</w:t>
      </w:r>
      <w:r w:rsidRPr="00444308">
        <w:rPr>
          <w:rStyle w:val="B1Zchn"/>
        </w:rPr>
        <w:t xml:space="preserve"> can be different from the offset for gNB-initiated COT. From our point of view, there is no justification that by</w:t>
      </w:r>
      <w:r w:rsidR="00444308" w:rsidRPr="00444308">
        <w:rPr>
          <w:rStyle w:val="B1Zchn"/>
        </w:rPr>
        <w:t xml:space="preserve"> </w:t>
      </w:r>
      <w:r w:rsidRPr="00444308">
        <w:rPr>
          <w:rStyle w:val="B1Zchn"/>
        </w:rPr>
        <w:t xml:space="preserve">design we impose restrictions on these parameters and limit the NR operation. </w:t>
      </w:r>
      <w:r w:rsidR="005129F9" w:rsidRPr="00444308">
        <w:rPr>
          <w:rStyle w:val="B1Zchn"/>
        </w:rPr>
        <w:t>As explained above, t</w:t>
      </w:r>
      <w:r w:rsidRPr="00444308">
        <w:rPr>
          <w:rStyle w:val="B1Zchn"/>
        </w:rPr>
        <w:t>he NW needs flexibility for proper allocation of FF</w:t>
      </w:r>
      <w:r w:rsidR="00444892">
        <w:rPr>
          <w:rStyle w:val="B1Zchn"/>
        </w:rPr>
        <w:t>P</w:t>
      </w:r>
      <w:r w:rsidRPr="00444308">
        <w:rPr>
          <w:rStyle w:val="B1Zchn"/>
        </w:rPr>
        <w:t xml:space="preserve"> parameters among different users and specification should provide flexi</w:t>
      </w:r>
      <w:r w:rsidR="005129F9" w:rsidRPr="00444308">
        <w:rPr>
          <w:rStyle w:val="B1Zchn"/>
        </w:rPr>
        <w:t>bility</w:t>
      </w:r>
      <w:r w:rsidR="00444892">
        <w:rPr>
          <w:rStyle w:val="B1Zchn"/>
        </w:rPr>
        <w:t>.</w:t>
      </w:r>
    </w:p>
    <w:p w14:paraId="5DAE5512" w14:textId="77777777" w:rsidR="00E109CE" w:rsidRDefault="00E109CE" w:rsidP="00E109CE">
      <w:pPr>
        <w:pStyle w:val="Proposal"/>
        <w:numPr>
          <w:ilvl w:val="0"/>
          <w:numId w:val="0"/>
        </w:numPr>
      </w:pPr>
    </w:p>
    <w:p w14:paraId="463C891D" w14:textId="6D8B814E" w:rsidR="00E109CE" w:rsidRPr="00C9180D" w:rsidRDefault="00565E78" w:rsidP="00565E78">
      <w:pPr>
        <w:pStyle w:val="Proposal"/>
      </w:pPr>
      <w:bookmarkStart w:id="5" w:name="_Toc54411792"/>
      <w:r w:rsidRPr="00C9180D">
        <w:rPr>
          <w:bdr w:val="none" w:sz="0" w:space="0" w:color="auto" w:frame="1"/>
        </w:rPr>
        <w:t>For semi-static channel access mode,</w:t>
      </w:r>
      <w:r w:rsidRPr="00C9180D">
        <w:t> </w:t>
      </w:r>
      <w:r w:rsidR="00E109CE" w:rsidRPr="00565E78">
        <w:rPr>
          <w:bdr w:val="none" w:sz="0" w:space="0" w:color="auto" w:frame="1"/>
        </w:rPr>
        <w:t>FFP Periodicity for UE-initiated COT can be different from the FFP periodicity for gNB-initiated COT.</w:t>
      </w:r>
      <w:bookmarkEnd w:id="5"/>
      <w:r w:rsidR="00E109CE" w:rsidRPr="00C9180D">
        <w:t> </w:t>
      </w:r>
    </w:p>
    <w:p w14:paraId="264CCFE7" w14:textId="77777777" w:rsidR="005129F9" w:rsidRDefault="005129F9" w:rsidP="005F1ED9">
      <w:pPr>
        <w:pStyle w:val="Proposal"/>
        <w:numPr>
          <w:ilvl w:val="0"/>
          <w:numId w:val="0"/>
        </w:numPr>
        <w:rPr>
          <w:rFonts w:cs="Arial"/>
          <w:b w:val="0"/>
          <w:bCs w:val="0"/>
        </w:rPr>
      </w:pPr>
    </w:p>
    <w:p w14:paraId="7DD3ED1E" w14:textId="6EC2300D" w:rsidR="00E109CE" w:rsidRDefault="005129F9" w:rsidP="006C1CE2">
      <w:pPr>
        <w:pStyle w:val="BodyText"/>
      </w:pPr>
      <w:r>
        <w:t>I</w:t>
      </w:r>
      <w:r w:rsidRPr="005129F9">
        <w:rPr>
          <w:rFonts w:eastAsia="SimSun"/>
          <w:lang w:eastAsia="en-US"/>
        </w:rPr>
        <w:t xml:space="preserve">t was </w:t>
      </w:r>
      <w:r>
        <w:rPr>
          <w:rFonts w:eastAsia="SimSun"/>
          <w:lang w:eastAsia="en-US"/>
        </w:rPr>
        <w:t xml:space="preserve">also </w:t>
      </w:r>
      <w:r w:rsidRPr="005129F9">
        <w:rPr>
          <w:rFonts w:eastAsia="SimSun"/>
          <w:lang w:eastAsia="en-US"/>
        </w:rPr>
        <w:t>discussed whether UE</w:t>
      </w:r>
      <w:r w:rsidRPr="005129F9">
        <w:t xml:space="preserve"> FFP parameters for UE-initiated COT can be provided</w:t>
      </w:r>
      <w:r>
        <w:t xml:space="preserve"> before dedicated RRC. </w:t>
      </w:r>
      <w:r w:rsidR="00B86B31">
        <w:t xml:space="preserve">Currently, only gNB-initiated COT is supported before dedicated RRC. As shown in </w:t>
      </w:r>
      <w:r w:rsidR="00B86B31" w:rsidRPr="00B86B31">
        <w:fldChar w:fldCharType="begin"/>
      </w:r>
      <w:r w:rsidR="00B86B31" w:rsidRPr="00B86B31">
        <w:instrText xml:space="preserve"> REF _Ref54370258 \h  \* MERGEFORMAT </w:instrText>
      </w:r>
      <w:r w:rsidR="00B86B31" w:rsidRPr="00B86B31">
        <w:fldChar w:fldCharType="separate"/>
      </w:r>
      <w:r w:rsidR="00C8021E">
        <w:t xml:space="preserve">Figure </w:t>
      </w:r>
      <w:r w:rsidR="00C8021E">
        <w:rPr>
          <w:noProof/>
        </w:rPr>
        <w:t>1</w:t>
      </w:r>
      <w:r w:rsidR="00B86B31" w:rsidRPr="00B86B31">
        <w:fldChar w:fldCharType="end"/>
      </w:r>
      <w:r w:rsidR="002373DB">
        <w:t xml:space="preserve">, currently when operating in FBE mode, the PRACH transmission would be </w:t>
      </w:r>
      <w:r w:rsidR="002373DB" w:rsidRPr="002373DB">
        <w:rPr>
          <w:i/>
          <w:iCs/>
        </w:rPr>
        <w:t>always</w:t>
      </w:r>
      <w:r w:rsidR="002373DB">
        <w:t xml:space="preserve"> conditioned on detection of DL transmissions in the current gNB-FPP. If the UE does not detect DL, the UE </w:t>
      </w:r>
      <w:proofErr w:type="gramStart"/>
      <w:r w:rsidR="002373DB">
        <w:t>has to</w:t>
      </w:r>
      <w:proofErr w:type="gramEnd"/>
      <w:r w:rsidR="002373DB">
        <w:t xml:space="preserve"> wait until the next period of gNB-FF</w:t>
      </w:r>
      <w:r w:rsidR="00444892">
        <w:t>P</w:t>
      </w:r>
      <w:r w:rsidR="002373DB">
        <w:t xml:space="preserve"> to attempt for PRACH transmission. That </w:t>
      </w:r>
      <w:r w:rsidR="00DC2B89">
        <w:t>severely</w:t>
      </w:r>
      <w:r w:rsidR="002373DB">
        <w:t xml:space="preserve"> impacts the UL</w:t>
      </w:r>
      <w:r w:rsidR="00DC2B89">
        <w:t>.</w:t>
      </w:r>
      <w:r w:rsidR="002373DB">
        <w:t xml:space="preserve"> </w:t>
      </w:r>
    </w:p>
    <w:p w14:paraId="1F7D654F" w14:textId="28A43BED" w:rsidR="005129F9" w:rsidRDefault="005129F9" w:rsidP="006C1CE2">
      <w:pPr>
        <w:pStyle w:val="BodyText"/>
        <w:rPr>
          <w:rFonts w:cs="Arial"/>
          <w:b/>
          <w:bCs/>
        </w:rPr>
      </w:pPr>
    </w:p>
    <w:p w14:paraId="7BC58357" w14:textId="77777777" w:rsidR="005129F9" w:rsidRDefault="005129F9" w:rsidP="006C1CE2">
      <w:pPr>
        <w:pStyle w:val="BodyText"/>
        <w:jc w:val="center"/>
      </w:pPr>
      <w:r w:rsidRPr="005129F9">
        <w:rPr>
          <w:noProof/>
        </w:rPr>
        <w:drawing>
          <wp:inline distT="0" distB="0" distL="0" distR="0" wp14:anchorId="2F1FB430" wp14:editId="4DC42705">
            <wp:extent cx="5864225" cy="1027563"/>
            <wp:effectExtent l="0" t="0" r="3175"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86232" cy="1048942"/>
                    </a:xfrm>
                    <a:prstGeom prst="rect">
                      <a:avLst/>
                    </a:prstGeom>
                    <a:noFill/>
                    <a:ln>
                      <a:noFill/>
                    </a:ln>
                  </pic:spPr>
                </pic:pic>
              </a:graphicData>
            </a:graphic>
          </wp:inline>
        </w:drawing>
      </w:r>
    </w:p>
    <w:p w14:paraId="3F9BBDBA" w14:textId="7F8A2C32" w:rsidR="005129F9" w:rsidRDefault="005129F9" w:rsidP="006C1CE2">
      <w:pPr>
        <w:pStyle w:val="BodyText"/>
        <w:jc w:val="center"/>
      </w:pPr>
      <w:bookmarkStart w:id="6" w:name="_Ref54370258"/>
      <w:r>
        <w:t xml:space="preserve">Figure </w:t>
      </w:r>
      <w:r>
        <w:fldChar w:fldCharType="begin"/>
      </w:r>
      <w:r>
        <w:instrText xml:space="preserve"> SEQ Figure \* ARABIC </w:instrText>
      </w:r>
      <w:r>
        <w:fldChar w:fldCharType="separate"/>
      </w:r>
      <w:r w:rsidR="00C8021E">
        <w:rPr>
          <w:noProof/>
        </w:rPr>
        <w:t>1</w:t>
      </w:r>
      <w:r>
        <w:fldChar w:fldCharType="end"/>
      </w:r>
      <w:bookmarkEnd w:id="6"/>
      <w:r>
        <w:t xml:space="preserve">: </w:t>
      </w:r>
      <w:r w:rsidR="00B86B31">
        <w:t>PRACH when only gNB-initiated COT is supported.</w:t>
      </w:r>
    </w:p>
    <w:p w14:paraId="29DA5F54" w14:textId="77777777" w:rsidR="00444308" w:rsidRDefault="00444308" w:rsidP="006C1CE2">
      <w:pPr>
        <w:pStyle w:val="BodyText"/>
        <w:rPr>
          <w:lang w:eastAsia="en-GB"/>
        </w:rPr>
      </w:pPr>
    </w:p>
    <w:p w14:paraId="34102371" w14:textId="03EC8CAE" w:rsidR="005129F9" w:rsidRDefault="00DC2B89" w:rsidP="006C1CE2">
      <w:pPr>
        <w:pStyle w:val="BodyText"/>
        <w:rPr>
          <w:lang w:eastAsia="en-GB"/>
        </w:rPr>
      </w:pPr>
      <w:r>
        <w:rPr>
          <w:lang w:eastAsia="en-GB"/>
        </w:rPr>
        <w:t xml:space="preserve">Based on the observation we made earlier, we do believe that UE-initiated COT usage should not be limited </w:t>
      </w:r>
      <w:r w:rsidR="00CE1306">
        <w:rPr>
          <w:lang w:eastAsia="en-GB"/>
        </w:rPr>
        <w:t xml:space="preserve">only </w:t>
      </w:r>
      <w:r>
        <w:rPr>
          <w:lang w:eastAsia="en-GB"/>
        </w:rPr>
        <w:t xml:space="preserve">to transmission after dedicated RRC. Enabling UE-initiated COT before dedicated RRC </w:t>
      </w:r>
      <w:r w:rsidR="00CE1306">
        <w:rPr>
          <w:lang w:eastAsia="en-GB"/>
        </w:rPr>
        <w:t xml:space="preserve">clearly improves the uplink. By supporting UE-initiated COT before dedicated RRC, the NW can signal in SIB-1 that UE-initiated COT is enabled on top of gNB initiated COT. In this case, when UE initiates a PRACH transmission when DL transmission is not detected as in the example in </w:t>
      </w:r>
      <w:r w:rsidR="00CE1306">
        <w:rPr>
          <w:lang w:eastAsia="en-GB"/>
        </w:rPr>
        <w:fldChar w:fldCharType="begin"/>
      </w:r>
      <w:r w:rsidR="00CE1306">
        <w:rPr>
          <w:lang w:eastAsia="en-GB"/>
        </w:rPr>
        <w:instrText xml:space="preserve"> REF _Ref54370258 \h </w:instrText>
      </w:r>
      <w:r w:rsidR="006C1CE2">
        <w:rPr>
          <w:lang w:eastAsia="en-GB"/>
        </w:rPr>
        <w:instrText xml:space="preserve"> \* MERGEFORMAT </w:instrText>
      </w:r>
      <w:r w:rsidR="00CE1306">
        <w:rPr>
          <w:lang w:eastAsia="en-GB"/>
        </w:rPr>
      </w:r>
      <w:r w:rsidR="00CE1306">
        <w:rPr>
          <w:lang w:eastAsia="en-GB"/>
        </w:rPr>
        <w:fldChar w:fldCharType="separate"/>
      </w:r>
      <w:r w:rsidR="00C8021E">
        <w:t xml:space="preserve">Figure </w:t>
      </w:r>
      <w:r w:rsidR="00C8021E">
        <w:rPr>
          <w:noProof/>
        </w:rPr>
        <w:t>1</w:t>
      </w:r>
      <w:r w:rsidR="00CE1306">
        <w:rPr>
          <w:lang w:eastAsia="en-GB"/>
        </w:rPr>
        <w:fldChar w:fldCharType="end"/>
      </w:r>
      <w:r w:rsidR="00CE1306">
        <w:rPr>
          <w:lang w:eastAsia="en-GB"/>
        </w:rPr>
        <w:t xml:space="preserve">, the UE assumes the configuration of the PRACH with respect to periodicity and offset as the UE-FFP parameters. </w:t>
      </w:r>
    </w:p>
    <w:p w14:paraId="7F00711B" w14:textId="77777777" w:rsidR="00F17566" w:rsidRPr="00F17566" w:rsidRDefault="00565E78" w:rsidP="00F17566">
      <w:pPr>
        <w:pStyle w:val="Proposal"/>
        <w:rPr>
          <w:rFonts w:ascii="Calibri" w:hAnsi="Calibri" w:cs="Calibri"/>
          <w:sz w:val="22"/>
        </w:rPr>
      </w:pPr>
      <w:bookmarkStart w:id="7" w:name="_Toc54411793"/>
      <w:r>
        <w:lastRenderedPageBreak/>
        <w:t>For semi-static channel access mode, UE-initiated COT is supported before dedicated RRC</w:t>
      </w:r>
      <w:r w:rsidR="00F17566">
        <w:t xml:space="preserve"> and</w:t>
      </w:r>
      <w:r>
        <w:t xml:space="preserve"> </w:t>
      </w:r>
      <w:r w:rsidR="00F17566">
        <w:t>is</w:t>
      </w:r>
      <w:r>
        <w:t xml:space="preserve"> enabled by SIB-1.</w:t>
      </w:r>
      <w:bookmarkEnd w:id="7"/>
      <w:r>
        <w:t xml:space="preserve"> </w:t>
      </w:r>
    </w:p>
    <w:p w14:paraId="6037F34A" w14:textId="6A5EA858" w:rsidR="00F17566" w:rsidRPr="00F17566" w:rsidRDefault="00565E78" w:rsidP="00F17566">
      <w:pPr>
        <w:pStyle w:val="Proposal"/>
        <w:numPr>
          <w:ilvl w:val="2"/>
          <w:numId w:val="3"/>
        </w:numPr>
        <w:rPr>
          <w:rFonts w:ascii="Calibri" w:hAnsi="Calibri" w:cs="Calibri"/>
          <w:sz w:val="22"/>
        </w:rPr>
      </w:pPr>
      <w:bookmarkStart w:id="8" w:name="_Toc54411794"/>
      <w:r>
        <w:t xml:space="preserve">UE FFP periodicity and offset </w:t>
      </w:r>
      <w:r w:rsidR="00F17566">
        <w:t>are</w:t>
      </w:r>
      <w:r>
        <w:t xml:space="preserve"> </w:t>
      </w:r>
      <w:r w:rsidR="00F17566">
        <w:t xml:space="preserve">implicitly </w:t>
      </w:r>
      <w:r>
        <w:t xml:space="preserve">determined </w:t>
      </w:r>
      <w:r w:rsidR="00F17566">
        <w:t>based on PRACH configuration corresponding to a</w:t>
      </w:r>
      <w:r>
        <w:t xml:space="preserve"> PRACH </w:t>
      </w:r>
      <w:r w:rsidR="00F17566">
        <w:t>transmission outside the gNB-initiated COT.</w:t>
      </w:r>
      <w:bookmarkEnd w:id="8"/>
    </w:p>
    <w:p w14:paraId="08434D5C" w14:textId="05E7C3CF" w:rsidR="00CE1306" w:rsidRPr="00F17566" w:rsidRDefault="00CE1306" w:rsidP="008953BA">
      <w:pPr>
        <w:rPr>
          <w:rFonts w:ascii="Times New Roman" w:eastAsia="SimSun" w:hAnsi="Times New Roman" w:cs="Times New Roman"/>
        </w:rPr>
      </w:pPr>
    </w:p>
    <w:p w14:paraId="61F9F4AA" w14:textId="22E1113C" w:rsidR="0046437B" w:rsidRDefault="0046437B" w:rsidP="0046437B">
      <w:pPr>
        <w:pStyle w:val="Heading3"/>
      </w:pPr>
      <w:r>
        <w:t>2.1.</w:t>
      </w:r>
      <w:r w:rsidR="00893E50">
        <w:t>3</w:t>
      </w:r>
      <w:r>
        <w:tab/>
      </w:r>
      <w:r w:rsidR="00BB36CD">
        <w:t xml:space="preserve">Gaps duration in </w:t>
      </w:r>
      <w:r>
        <w:t>UE-to-gNB COT sharing</w:t>
      </w:r>
    </w:p>
    <w:p w14:paraId="7F2722BA" w14:textId="7F9E4F8C" w:rsidR="00D035D3" w:rsidRDefault="00893E50" w:rsidP="0046437B">
      <w:pPr>
        <w:rPr>
          <w:lang w:val="en-GB" w:eastAsia="ja-JP"/>
        </w:rPr>
      </w:pPr>
      <w:r>
        <w:rPr>
          <w:lang w:val="en-GB" w:eastAsia="ja-JP"/>
        </w:rPr>
        <w:t xml:space="preserve">In the previous meeting, </w:t>
      </w:r>
      <w:r w:rsidR="00954C16">
        <w:rPr>
          <w:lang w:val="en-GB" w:eastAsia="ja-JP"/>
        </w:rPr>
        <w:t xml:space="preserve">it was discussed in case </w:t>
      </w:r>
      <w:r w:rsidR="00D035D3">
        <w:rPr>
          <w:lang w:val="en-GB" w:eastAsia="ja-JP"/>
        </w:rPr>
        <w:t>of UE-to-gNB</w:t>
      </w:r>
      <w:r w:rsidR="00DD41C6">
        <w:rPr>
          <w:lang w:val="en-GB" w:eastAsia="ja-JP"/>
        </w:rPr>
        <w:t xml:space="preserve"> COT sharing</w:t>
      </w:r>
      <w:r w:rsidR="00D035D3">
        <w:rPr>
          <w:lang w:val="en-GB" w:eastAsia="ja-JP"/>
        </w:rPr>
        <w:t xml:space="preserve"> whether gap</w:t>
      </w:r>
      <w:r w:rsidR="00DD41C6">
        <w:rPr>
          <w:lang w:val="en-GB" w:eastAsia="ja-JP"/>
        </w:rPr>
        <w:t>s larger than 16 us</w:t>
      </w:r>
      <w:r w:rsidR="00D035D3">
        <w:rPr>
          <w:lang w:val="en-GB" w:eastAsia="ja-JP"/>
        </w:rPr>
        <w:t xml:space="preserve"> between DL transmission and the UL transmission that initiated a COT</w:t>
      </w:r>
      <w:r w:rsidR="00DD41C6">
        <w:rPr>
          <w:lang w:val="en-GB" w:eastAsia="ja-JP"/>
        </w:rPr>
        <w:t xml:space="preserve"> are allowed</w:t>
      </w:r>
      <w:r w:rsidR="00D035D3">
        <w:rPr>
          <w:lang w:val="en-GB" w:eastAsia="ja-JP"/>
        </w:rPr>
        <w:t>.</w:t>
      </w:r>
    </w:p>
    <w:p w14:paraId="4AC4AED4" w14:textId="6096468B" w:rsidR="00B76292" w:rsidRDefault="00D035D3" w:rsidP="0046437B">
      <w:pPr>
        <w:rPr>
          <w:lang w:val="en-GB" w:eastAsia="ja-JP"/>
        </w:rPr>
      </w:pPr>
      <w:proofErr w:type="gramStart"/>
      <w:r>
        <w:rPr>
          <w:lang w:val="en-GB" w:eastAsia="ja-JP"/>
        </w:rPr>
        <w:t>First of all</w:t>
      </w:r>
      <w:proofErr w:type="gramEnd"/>
      <w:r>
        <w:rPr>
          <w:lang w:val="en-GB" w:eastAsia="ja-JP"/>
        </w:rPr>
        <w:t xml:space="preserve">, it is important to note that UE-to-gNB COT sharing </w:t>
      </w:r>
      <w:r w:rsidR="00B76292">
        <w:rPr>
          <w:lang w:val="en-GB" w:eastAsia="ja-JP"/>
        </w:rPr>
        <w:t xml:space="preserve">is </w:t>
      </w:r>
      <w:r w:rsidR="00444892">
        <w:rPr>
          <w:lang w:val="en-GB" w:eastAsia="ja-JP"/>
        </w:rPr>
        <w:t xml:space="preserve">a </w:t>
      </w:r>
      <w:r w:rsidR="00B76292">
        <w:rPr>
          <w:lang w:val="en-GB" w:eastAsia="ja-JP"/>
        </w:rPr>
        <w:t>mirror of</w:t>
      </w:r>
      <w:r>
        <w:rPr>
          <w:lang w:val="en-GB" w:eastAsia="ja-JP"/>
        </w:rPr>
        <w:t xml:space="preserve"> gNB-to-UE COT sharing specified in Rel-16 based on channel access procedures regulated in European Harmonized standards. From </w:t>
      </w:r>
      <w:r w:rsidR="00444892">
        <w:rPr>
          <w:lang w:val="en-GB" w:eastAsia="ja-JP"/>
        </w:rPr>
        <w:t>a</w:t>
      </w:r>
      <w:r>
        <w:rPr>
          <w:lang w:val="en-GB" w:eastAsia="ja-JP"/>
        </w:rPr>
        <w:t xml:space="preserve"> regulat</w:t>
      </w:r>
      <w:r w:rsidR="00444892">
        <w:rPr>
          <w:lang w:val="en-GB" w:eastAsia="ja-JP"/>
        </w:rPr>
        <w:t>ory</w:t>
      </w:r>
      <w:r>
        <w:rPr>
          <w:lang w:val="en-GB" w:eastAsia="ja-JP"/>
        </w:rPr>
        <w:t xml:space="preserve"> perspective, </w:t>
      </w:r>
      <w:r w:rsidR="00B76292">
        <w:rPr>
          <w:lang w:val="en-GB" w:eastAsia="ja-JP"/>
        </w:rPr>
        <w:t>a device can be both initiating and responding and both UE and gNB from regulation perspective are considered as devices. Hence, the gNB-to-UE C</w:t>
      </w:r>
      <w:r w:rsidR="00444892">
        <w:rPr>
          <w:lang w:val="en-GB" w:eastAsia="ja-JP"/>
        </w:rPr>
        <w:t>OT</w:t>
      </w:r>
      <w:r w:rsidR="00B76292">
        <w:rPr>
          <w:lang w:val="en-GB" w:eastAsia="ja-JP"/>
        </w:rPr>
        <w:t xml:space="preserve"> sharing specified in Rel-16, can be applied directly to UE-to-gNB COT sharing </w:t>
      </w:r>
      <w:r w:rsidR="00444892">
        <w:rPr>
          <w:lang w:val="en-GB" w:eastAsia="ja-JP"/>
        </w:rPr>
        <w:t>by</w:t>
      </w:r>
      <w:r w:rsidR="00B76292">
        <w:rPr>
          <w:lang w:val="en-GB" w:eastAsia="ja-JP"/>
        </w:rPr>
        <w:t xml:space="preserve"> exchanging UE and gNB roles. That means that from the regulat</w:t>
      </w:r>
      <w:r w:rsidR="00444892">
        <w:rPr>
          <w:lang w:val="en-GB" w:eastAsia="ja-JP"/>
        </w:rPr>
        <w:t>ory</w:t>
      </w:r>
      <w:r w:rsidR="00B76292">
        <w:rPr>
          <w:lang w:val="en-GB" w:eastAsia="ja-JP"/>
        </w:rPr>
        <w:t xml:space="preserve"> point of view, there is no justification to apply more restrictions for UE-to-gNB COT sharing by limiting the gaps between UL and DL to </w:t>
      </w:r>
      <w:r w:rsidR="00444892">
        <w:rPr>
          <w:lang w:val="en-GB" w:eastAsia="ja-JP"/>
        </w:rPr>
        <w:t xml:space="preserve">a </w:t>
      </w:r>
      <w:r w:rsidR="00B76292">
        <w:rPr>
          <w:lang w:val="en-GB" w:eastAsia="ja-JP"/>
        </w:rPr>
        <w:t xml:space="preserve">maximum </w:t>
      </w:r>
      <w:r w:rsidR="00444892">
        <w:rPr>
          <w:lang w:val="en-GB" w:eastAsia="ja-JP"/>
        </w:rPr>
        <w:t xml:space="preserve">of </w:t>
      </w:r>
      <w:r w:rsidR="00B76292">
        <w:rPr>
          <w:lang w:val="en-GB" w:eastAsia="ja-JP"/>
        </w:rPr>
        <w:t>16 us.</w:t>
      </w:r>
    </w:p>
    <w:p w14:paraId="2EE815EF" w14:textId="4A1586D8" w:rsidR="00A761F4" w:rsidRDefault="00B76292" w:rsidP="0046437B">
      <w:pPr>
        <w:rPr>
          <w:lang w:val="en-GB" w:eastAsia="ja-JP"/>
        </w:rPr>
      </w:pPr>
      <w:r>
        <w:rPr>
          <w:lang w:val="en-GB" w:eastAsia="ja-JP"/>
        </w:rPr>
        <w:t xml:space="preserve">Secondly, treating UE-to-gNB and gNB-to-UE COT sharing </w:t>
      </w:r>
      <w:r w:rsidR="00444892">
        <w:rPr>
          <w:lang w:val="en-GB" w:eastAsia="ja-JP"/>
        </w:rPr>
        <w:t xml:space="preserve">differently </w:t>
      </w:r>
      <w:r>
        <w:rPr>
          <w:lang w:val="en-GB" w:eastAsia="ja-JP"/>
        </w:rPr>
        <w:t xml:space="preserve">would increase specification efforts </w:t>
      </w:r>
      <w:r w:rsidR="00A761F4">
        <w:rPr>
          <w:lang w:val="en-GB" w:eastAsia="ja-JP"/>
        </w:rPr>
        <w:t>since the symmetry does not hold any more. Additional efforts would be needed to capture the restrictions and its corresponding consequences on gNB and UE behaviour.</w:t>
      </w:r>
    </w:p>
    <w:p w14:paraId="528B889E" w14:textId="234B6B51" w:rsidR="0046437B" w:rsidRDefault="00A761F4" w:rsidP="0046437B">
      <w:pPr>
        <w:rPr>
          <w:lang w:val="en-GB" w:eastAsia="ja-JP"/>
        </w:rPr>
      </w:pPr>
      <w:r>
        <w:rPr>
          <w:lang w:val="en-GB" w:eastAsia="ja-JP"/>
        </w:rPr>
        <w:t xml:space="preserve">Lastly, such a restriction not only </w:t>
      </w:r>
      <w:r w:rsidR="00444892">
        <w:rPr>
          <w:lang w:val="en-GB" w:eastAsia="ja-JP"/>
        </w:rPr>
        <w:t xml:space="preserve">lacks </w:t>
      </w:r>
      <w:r>
        <w:rPr>
          <w:lang w:val="en-GB" w:eastAsia="ja-JP"/>
        </w:rPr>
        <w:t>technical motivat</w:t>
      </w:r>
      <w:r w:rsidR="00444892">
        <w:rPr>
          <w:lang w:val="en-GB" w:eastAsia="ja-JP"/>
        </w:rPr>
        <w:t>ion</w:t>
      </w:r>
      <w:r>
        <w:rPr>
          <w:lang w:val="en-GB" w:eastAsia="ja-JP"/>
        </w:rPr>
        <w:t xml:space="preserve">, but </w:t>
      </w:r>
      <w:r w:rsidR="00444892">
        <w:rPr>
          <w:lang w:val="en-GB" w:eastAsia="ja-JP"/>
        </w:rPr>
        <w:t xml:space="preserve">it </w:t>
      </w:r>
      <w:r>
        <w:rPr>
          <w:lang w:val="en-GB" w:eastAsia="ja-JP"/>
        </w:rPr>
        <w:t xml:space="preserve">also jeopardizes URLLC operation. </w:t>
      </w:r>
      <w:r w:rsidR="00DD41C6">
        <w:rPr>
          <w:lang w:val="en-GB" w:eastAsia="ja-JP"/>
        </w:rPr>
        <w:t xml:space="preserve">The reason is that only a DL transmission that occurs immediately after a UL that initiated the COT, can benefit from COT sharing with UE. Any DL transmission not occurring immediately after UL, should </w:t>
      </w:r>
      <w:proofErr w:type="spellStart"/>
      <w:r w:rsidR="00DD41C6">
        <w:rPr>
          <w:lang w:val="en-GB" w:eastAsia="ja-JP"/>
        </w:rPr>
        <w:t>de</w:t>
      </w:r>
      <w:proofErr w:type="spellEnd"/>
      <w:r w:rsidR="00DD41C6">
        <w:rPr>
          <w:lang w:val="en-GB" w:eastAsia="ja-JP"/>
        </w:rPr>
        <w:t xml:space="preserve"> delayed until the next FFP based on the proposed restriction while it would be legitimate to occur during the current FFP before the idle period. A</w:t>
      </w:r>
      <w:r w:rsidR="00444892">
        <w:rPr>
          <w:lang w:val="en-GB" w:eastAsia="ja-JP"/>
        </w:rPr>
        <w:t>n</w:t>
      </w:r>
      <w:r w:rsidR="00DD41C6">
        <w:rPr>
          <w:lang w:val="en-GB" w:eastAsia="ja-JP"/>
        </w:rPr>
        <w:t xml:space="preserve"> example is shown in </w:t>
      </w:r>
      <w:r w:rsidR="00DD41C6">
        <w:rPr>
          <w:lang w:val="en-GB" w:eastAsia="ja-JP"/>
        </w:rPr>
        <w:fldChar w:fldCharType="begin"/>
      </w:r>
      <w:r w:rsidR="00DD41C6">
        <w:rPr>
          <w:lang w:val="en-GB" w:eastAsia="ja-JP"/>
        </w:rPr>
        <w:instrText xml:space="preserve"> REF _Ref54380709 \h </w:instrText>
      </w:r>
      <w:r w:rsidR="00DD41C6">
        <w:rPr>
          <w:lang w:val="en-GB" w:eastAsia="ja-JP"/>
        </w:rPr>
      </w:r>
      <w:r w:rsidR="00DD41C6">
        <w:rPr>
          <w:lang w:val="en-GB" w:eastAsia="ja-JP"/>
        </w:rPr>
        <w:fldChar w:fldCharType="separate"/>
      </w:r>
      <w:r w:rsidR="00C8021E">
        <w:t xml:space="preserve">Figure </w:t>
      </w:r>
      <w:r w:rsidR="00C8021E">
        <w:rPr>
          <w:noProof/>
        </w:rPr>
        <w:t>2</w:t>
      </w:r>
      <w:r w:rsidR="00DD41C6">
        <w:rPr>
          <w:lang w:val="en-GB" w:eastAsia="ja-JP"/>
        </w:rPr>
        <w:fldChar w:fldCharType="end"/>
      </w:r>
      <w:r w:rsidR="00DD41C6">
        <w:rPr>
          <w:lang w:val="en-GB" w:eastAsia="ja-JP"/>
        </w:rPr>
        <w:t xml:space="preserve"> to illustrate this issue, using DL SPS as an example for simplicity.  </w:t>
      </w:r>
    </w:p>
    <w:p w14:paraId="011C0914" w14:textId="77777777" w:rsidR="00BB36CD" w:rsidRDefault="00BB36CD" w:rsidP="00BB36CD">
      <w:pPr>
        <w:keepNext/>
        <w:jc w:val="center"/>
      </w:pPr>
      <w:r w:rsidRPr="005240C6">
        <w:rPr>
          <w:noProof/>
        </w:rPr>
        <w:drawing>
          <wp:inline distT="0" distB="0" distL="0" distR="0" wp14:anchorId="33632634" wp14:editId="79FA1D19">
            <wp:extent cx="5728068" cy="1077393"/>
            <wp:effectExtent l="0" t="0" r="635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40745" cy="1098587"/>
                    </a:xfrm>
                    <a:prstGeom prst="rect">
                      <a:avLst/>
                    </a:prstGeom>
                    <a:noFill/>
                    <a:ln>
                      <a:noFill/>
                    </a:ln>
                  </pic:spPr>
                </pic:pic>
              </a:graphicData>
            </a:graphic>
          </wp:inline>
        </w:drawing>
      </w:r>
    </w:p>
    <w:p w14:paraId="25030D25" w14:textId="405AB521" w:rsidR="00BB36CD" w:rsidRPr="00BB36CD" w:rsidRDefault="00BB36CD" w:rsidP="00BB36CD">
      <w:pPr>
        <w:pStyle w:val="Caption"/>
        <w:jc w:val="center"/>
        <w:rPr>
          <w:color w:val="000000"/>
        </w:rPr>
      </w:pPr>
      <w:bookmarkStart w:id="9" w:name="_Ref54380709"/>
      <w:r>
        <w:t xml:space="preserve">Figure </w:t>
      </w:r>
      <w:r>
        <w:fldChar w:fldCharType="begin"/>
      </w:r>
      <w:r>
        <w:instrText xml:space="preserve"> SEQ Figure \* ARABIC </w:instrText>
      </w:r>
      <w:r>
        <w:fldChar w:fldCharType="separate"/>
      </w:r>
      <w:r w:rsidR="00C8021E">
        <w:rPr>
          <w:noProof/>
        </w:rPr>
        <w:t>2</w:t>
      </w:r>
      <w:r>
        <w:fldChar w:fldCharType="end"/>
      </w:r>
      <w:bookmarkEnd w:id="9"/>
      <w:r>
        <w:t xml:space="preserve">: </w:t>
      </w:r>
      <w:r w:rsidR="006F6999">
        <w:t>UE-to-gNB COT sharing allowed for UL/DL gaps of at most 16us</w:t>
      </w:r>
    </w:p>
    <w:p w14:paraId="6314D8C8" w14:textId="72264B79" w:rsidR="00DD41C6" w:rsidRDefault="00DD41C6" w:rsidP="0046437B">
      <w:pPr>
        <w:rPr>
          <w:lang w:val="en-GB" w:eastAsia="ja-JP"/>
        </w:rPr>
      </w:pPr>
      <w:r>
        <w:rPr>
          <w:lang w:val="en-GB" w:eastAsia="ja-JP"/>
        </w:rPr>
        <w:t>Therefore, we propose the following:</w:t>
      </w:r>
    </w:p>
    <w:p w14:paraId="422A5013" w14:textId="6AE3340C" w:rsidR="00DD41C6" w:rsidRPr="00BB36CD" w:rsidRDefault="00362226" w:rsidP="00DD41C6">
      <w:pPr>
        <w:pStyle w:val="Proposal"/>
        <w:rPr>
          <w:lang w:val="en-GB"/>
        </w:rPr>
      </w:pPr>
      <w:bookmarkStart w:id="10" w:name="_Toc54411795"/>
      <w:r w:rsidRPr="00BB36CD">
        <w:t xml:space="preserve">In semi-static channel access mode, UE to gNB COT sharing is supported when the gap between DL transmission and the UL transmission </w:t>
      </w:r>
      <w:proofErr w:type="gramStart"/>
      <w:r w:rsidRPr="00BB36CD">
        <w:t>is more or less</w:t>
      </w:r>
      <w:proofErr w:type="gramEnd"/>
      <w:r w:rsidRPr="00BB36CD">
        <w:t xml:space="preserve"> than 16 us.</w:t>
      </w:r>
      <w:bookmarkEnd w:id="10"/>
      <w:r w:rsidRPr="00BB36CD">
        <w:t xml:space="preserve"> </w:t>
      </w:r>
    </w:p>
    <w:p w14:paraId="02164580" w14:textId="105A994E" w:rsidR="00C9180D" w:rsidRPr="00BB36CD" w:rsidRDefault="00362226" w:rsidP="00C9180D">
      <w:pPr>
        <w:pStyle w:val="Proposal"/>
        <w:numPr>
          <w:ilvl w:val="2"/>
          <w:numId w:val="3"/>
        </w:numPr>
        <w:rPr>
          <w:lang w:val="en-GB"/>
        </w:rPr>
      </w:pPr>
      <w:bookmarkStart w:id="11" w:name="_Toc54411796"/>
      <w:r w:rsidRPr="00BB36CD">
        <w:t>Note: If the gap is at most 16 us, no sensing before the DL transmission is required. Otherwise, a 9 us sensing immediately before the DL transmission is required.</w:t>
      </w:r>
      <w:bookmarkEnd w:id="11"/>
    </w:p>
    <w:p w14:paraId="6D5D3C4B" w14:textId="77777777" w:rsidR="005240C6" w:rsidRDefault="005240C6" w:rsidP="00C9180D">
      <w:pPr>
        <w:rPr>
          <w:color w:val="000000"/>
        </w:rPr>
      </w:pPr>
    </w:p>
    <w:p w14:paraId="1F850F91" w14:textId="7D9288AB" w:rsidR="005240C6" w:rsidRDefault="00BB36CD" w:rsidP="00BB36CD">
      <w:pPr>
        <w:pStyle w:val="Heading3"/>
      </w:pPr>
      <w:r>
        <w:t>2.1.4</w:t>
      </w:r>
      <w:r>
        <w:tab/>
      </w:r>
      <w:r w:rsidR="00BA1873">
        <w:t xml:space="preserve">Determination of </w:t>
      </w:r>
      <w:r w:rsidR="00A359F9">
        <w:t>valid idle periods</w:t>
      </w:r>
    </w:p>
    <w:p w14:paraId="56C100D2" w14:textId="49F3A686" w:rsidR="00513E86" w:rsidRDefault="00513E86" w:rsidP="008A7300">
      <w:pPr>
        <w:rPr>
          <w:lang w:eastAsia="ja-JP"/>
        </w:rPr>
      </w:pPr>
      <w:r>
        <w:rPr>
          <w:lang w:eastAsia="ja-JP"/>
        </w:rPr>
        <w:t xml:space="preserve">Based on the agreement </w:t>
      </w:r>
      <w:r w:rsidR="00FA6664">
        <w:rPr>
          <w:lang w:eastAsia="ja-JP"/>
        </w:rPr>
        <w:t xml:space="preserve">in the </w:t>
      </w:r>
      <w:r>
        <w:rPr>
          <w:lang w:eastAsia="ja-JP"/>
        </w:rPr>
        <w:t xml:space="preserve">last meeting, when a UE is provided with both gNB FFP and UE FFP, </w:t>
      </w:r>
      <w:r w:rsidR="008A7300">
        <w:rPr>
          <w:lang w:eastAsia="ja-JP"/>
        </w:rPr>
        <w:t xml:space="preserve">depending on if a transmission is initiating or sharing a COT, </w:t>
      </w:r>
      <w:r w:rsidR="00EC5F3E">
        <w:rPr>
          <w:lang w:eastAsia="ja-JP"/>
        </w:rPr>
        <w:t xml:space="preserve">the applicable idle period is determined as illustrated in </w:t>
      </w:r>
      <w:r w:rsidR="00EC5F3E">
        <w:rPr>
          <w:lang w:eastAsia="ja-JP"/>
        </w:rPr>
        <w:fldChar w:fldCharType="begin"/>
      </w:r>
      <w:r w:rsidR="00EC5F3E">
        <w:rPr>
          <w:lang w:eastAsia="ja-JP"/>
        </w:rPr>
        <w:instrText xml:space="preserve"> REF _Ref54387264 \h </w:instrText>
      </w:r>
      <w:r w:rsidR="00EC5F3E">
        <w:rPr>
          <w:lang w:eastAsia="ja-JP"/>
        </w:rPr>
      </w:r>
      <w:r w:rsidR="00EC5F3E">
        <w:rPr>
          <w:lang w:eastAsia="ja-JP"/>
        </w:rPr>
        <w:fldChar w:fldCharType="separate"/>
      </w:r>
      <w:r w:rsidR="00C8021E">
        <w:t xml:space="preserve">Figure </w:t>
      </w:r>
      <w:r w:rsidR="00C8021E">
        <w:rPr>
          <w:noProof/>
        </w:rPr>
        <w:t>3</w:t>
      </w:r>
      <w:r w:rsidR="00EC5F3E">
        <w:rPr>
          <w:lang w:eastAsia="ja-JP"/>
        </w:rPr>
        <w:fldChar w:fldCharType="end"/>
      </w:r>
      <w:r w:rsidR="00EC5F3E">
        <w:rPr>
          <w:lang w:eastAsia="ja-JP"/>
        </w:rPr>
        <w:t>. It is important that both UE and gNB have the same understanding on the applicable/valid idle period</w:t>
      </w:r>
      <w:r w:rsidR="00BA1873">
        <w:rPr>
          <w:lang w:eastAsia="ja-JP"/>
        </w:rPr>
        <w:t>s</w:t>
      </w:r>
      <w:r w:rsidR="00EC5F3E">
        <w:rPr>
          <w:lang w:eastAsia="ja-JP"/>
        </w:rPr>
        <w:t xml:space="preserve"> and whet</w:t>
      </w:r>
      <w:r w:rsidR="00BA1873">
        <w:rPr>
          <w:lang w:eastAsia="ja-JP"/>
        </w:rPr>
        <w:t>her only DL or only UL or both DL/UL are not allowed within a valid idle period</w:t>
      </w:r>
      <w:r w:rsidR="00EC5F3E">
        <w:rPr>
          <w:lang w:eastAsia="ja-JP"/>
        </w:rPr>
        <w:t>.</w:t>
      </w:r>
    </w:p>
    <w:p w14:paraId="02779760" w14:textId="64B2CC81" w:rsidR="00EC5F3E" w:rsidRDefault="00EC5F3E" w:rsidP="00EC5F3E">
      <w:pPr>
        <w:keepNext/>
      </w:pPr>
    </w:p>
    <w:p w14:paraId="5F3CD3D8" w14:textId="4C8D8B83" w:rsidR="003E16E0" w:rsidRDefault="003E16E0" w:rsidP="00EC5F3E">
      <w:pPr>
        <w:keepNext/>
      </w:pPr>
    </w:p>
    <w:p w14:paraId="254001C0" w14:textId="531E7273" w:rsidR="008E7B7F" w:rsidRDefault="008E7B7F" w:rsidP="00EC5F3E">
      <w:pPr>
        <w:keepNext/>
      </w:pPr>
      <w:r w:rsidRPr="008E7B7F">
        <w:rPr>
          <w:noProof/>
        </w:rPr>
        <w:drawing>
          <wp:inline distT="0" distB="0" distL="0" distR="0" wp14:anchorId="6ED29D4A" wp14:editId="69AF2A8B">
            <wp:extent cx="6120765" cy="48895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4889500"/>
                    </a:xfrm>
                    <a:prstGeom prst="rect">
                      <a:avLst/>
                    </a:prstGeom>
                    <a:noFill/>
                    <a:ln>
                      <a:noFill/>
                    </a:ln>
                  </pic:spPr>
                </pic:pic>
              </a:graphicData>
            </a:graphic>
          </wp:inline>
        </w:drawing>
      </w:r>
    </w:p>
    <w:p w14:paraId="2AA99919" w14:textId="152A498C" w:rsidR="00513E86" w:rsidRPr="00513E86" w:rsidRDefault="00EC5F3E" w:rsidP="00EC5F3E">
      <w:pPr>
        <w:pStyle w:val="Caption"/>
        <w:jc w:val="center"/>
        <w:rPr>
          <w:lang w:eastAsia="ja-JP"/>
        </w:rPr>
      </w:pPr>
      <w:bookmarkStart w:id="12" w:name="_Ref54387264"/>
      <w:r>
        <w:t xml:space="preserve">Figure </w:t>
      </w:r>
      <w:r>
        <w:fldChar w:fldCharType="begin"/>
      </w:r>
      <w:r>
        <w:instrText xml:space="preserve"> SEQ Figure \* ARABIC </w:instrText>
      </w:r>
      <w:r>
        <w:fldChar w:fldCharType="separate"/>
      </w:r>
      <w:r w:rsidR="00C8021E">
        <w:rPr>
          <w:noProof/>
        </w:rPr>
        <w:t>3</w:t>
      </w:r>
      <w:r>
        <w:fldChar w:fldCharType="end"/>
      </w:r>
      <w:bookmarkEnd w:id="12"/>
      <w:r w:rsidR="006F6999">
        <w:t xml:space="preserve"> Illustration of DL/UL transmissions and corresponding valid idle periods without ambiguity</w:t>
      </w:r>
    </w:p>
    <w:p w14:paraId="0DC86BC6" w14:textId="4303C359" w:rsidR="00EC5F3E" w:rsidRDefault="00EC5F3E" w:rsidP="00513E86">
      <w:pPr>
        <w:rPr>
          <w:lang w:eastAsia="ja-JP"/>
        </w:rPr>
      </w:pPr>
    </w:p>
    <w:p w14:paraId="649E8DF8" w14:textId="432F5D55" w:rsidR="00DA7660" w:rsidRDefault="00BA1873" w:rsidP="00DA7660">
      <w:pPr>
        <w:rPr>
          <w:lang w:eastAsia="ja-JP"/>
        </w:rPr>
      </w:pPr>
      <w:r>
        <w:rPr>
          <w:lang w:eastAsia="ja-JP"/>
        </w:rPr>
        <w:t xml:space="preserve">However, there are cases that </w:t>
      </w:r>
      <w:r w:rsidR="00513E86" w:rsidRPr="00513E86">
        <w:rPr>
          <w:lang w:eastAsia="ja-JP"/>
        </w:rPr>
        <w:t>a UL</w:t>
      </w:r>
      <w:r w:rsidR="00EC5F3E">
        <w:rPr>
          <w:lang w:eastAsia="ja-JP"/>
        </w:rPr>
        <w:t xml:space="preserve"> or DL transmission</w:t>
      </w:r>
      <w:r w:rsidR="00513E86" w:rsidRPr="00513E86">
        <w:rPr>
          <w:lang w:eastAsia="ja-JP"/>
        </w:rPr>
        <w:t xml:space="preserve"> satisfies conditions as </w:t>
      </w:r>
      <w:r>
        <w:rPr>
          <w:lang w:eastAsia="ja-JP"/>
        </w:rPr>
        <w:t>both</w:t>
      </w:r>
      <w:r w:rsidR="00513E86" w:rsidRPr="00513E86">
        <w:rPr>
          <w:lang w:eastAsia="ja-JP"/>
        </w:rPr>
        <w:t xml:space="preserve"> </w:t>
      </w:r>
      <w:r w:rsidR="00EC5F3E">
        <w:rPr>
          <w:lang w:eastAsia="ja-JP"/>
        </w:rPr>
        <w:t>initiating or</w:t>
      </w:r>
      <w:r w:rsidR="00513E86" w:rsidRPr="00513E86">
        <w:rPr>
          <w:lang w:eastAsia="ja-JP"/>
        </w:rPr>
        <w:t xml:space="preserve"> sharing a COT</w:t>
      </w:r>
      <w:r>
        <w:rPr>
          <w:lang w:eastAsia="ja-JP"/>
        </w:rPr>
        <w:t>.</w:t>
      </w:r>
      <w:r w:rsidR="00DA7660" w:rsidRPr="00DA7660">
        <w:rPr>
          <w:lang w:eastAsia="ja-JP"/>
        </w:rPr>
        <w:t xml:space="preserve"> </w:t>
      </w:r>
      <w:r w:rsidR="00DA7660">
        <w:rPr>
          <w:lang w:eastAsia="ja-JP"/>
        </w:rPr>
        <w:t xml:space="preserve">An example is shown in </w:t>
      </w:r>
      <w:r w:rsidR="00DA7660">
        <w:rPr>
          <w:lang w:eastAsia="ja-JP"/>
        </w:rPr>
        <w:fldChar w:fldCharType="begin"/>
      </w:r>
      <w:r w:rsidR="00DA7660">
        <w:rPr>
          <w:lang w:eastAsia="ja-JP"/>
        </w:rPr>
        <w:instrText xml:space="preserve"> REF _Ref54388902 \h </w:instrText>
      </w:r>
      <w:r w:rsidR="00DA7660">
        <w:rPr>
          <w:lang w:eastAsia="ja-JP"/>
        </w:rPr>
      </w:r>
      <w:r w:rsidR="00DA7660">
        <w:rPr>
          <w:lang w:eastAsia="ja-JP"/>
        </w:rPr>
        <w:fldChar w:fldCharType="separate"/>
      </w:r>
      <w:r w:rsidR="00C8021E">
        <w:t xml:space="preserve">Figure </w:t>
      </w:r>
      <w:r w:rsidR="00C8021E">
        <w:rPr>
          <w:noProof/>
        </w:rPr>
        <w:t>4</w:t>
      </w:r>
      <w:r w:rsidR="00DA7660">
        <w:rPr>
          <w:lang w:eastAsia="ja-JP"/>
        </w:rPr>
        <w:fldChar w:fldCharType="end"/>
      </w:r>
      <w:r w:rsidR="00DA7660">
        <w:rPr>
          <w:lang w:eastAsia="ja-JP"/>
        </w:rPr>
        <w:t>.</w:t>
      </w:r>
    </w:p>
    <w:p w14:paraId="0019871F" w14:textId="53083240" w:rsidR="00EC5F3E" w:rsidRDefault="00BA1873" w:rsidP="00EC5F3E">
      <w:pPr>
        <w:rPr>
          <w:lang w:eastAsia="ja-JP"/>
        </w:rPr>
      </w:pPr>
      <w:r>
        <w:rPr>
          <w:lang w:eastAsia="ja-JP"/>
        </w:rPr>
        <w:t xml:space="preserve">In that case based on the agreement from last meeting, </w:t>
      </w:r>
      <w:r w:rsidR="00513E86" w:rsidRPr="00513E86">
        <w:rPr>
          <w:lang w:eastAsia="ja-JP"/>
        </w:rPr>
        <w:t xml:space="preserve">there </w:t>
      </w:r>
      <w:r>
        <w:rPr>
          <w:lang w:eastAsia="ja-JP"/>
        </w:rPr>
        <w:t>c</w:t>
      </w:r>
      <w:r w:rsidR="00513E86" w:rsidRPr="00513E86">
        <w:rPr>
          <w:lang w:eastAsia="ja-JP"/>
        </w:rPr>
        <w:t>ould be two applicable</w:t>
      </w:r>
      <w:r>
        <w:rPr>
          <w:lang w:eastAsia="ja-JP"/>
        </w:rPr>
        <w:t>/valid</w:t>
      </w:r>
      <w:r w:rsidR="00513E86" w:rsidRPr="00513E86">
        <w:rPr>
          <w:lang w:eastAsia="ja-JP"/>
        </w:rPr>
        <w:t xml:space="preserve"> idle periods with no UL/DL transmissions within. However, only one idle period would be </w:t>
      </w:r>
      <w:proofErr w:type="gramStart"/>
      <w:r w:rsidR="00513E86" w:rsidRPr="00513E86">
        <w:rPr>
          <w:lang w:eastAsia="ja-JP"/>
        </w:rPr>
        <w:t>suffic</w:t>
      </w:r>
      <w:r>
        <w:rPr>
          <w:lang w:eastAsia="ja-JP"/>
        </w:rPr>
        <w:t>i</w:t>
      </w:r>
      <w:r w:rsidR="00513E86" w:rsidRPr="00513E86">
        <w:rPr>
          <w:lang w:eastAsia="ja-JP"/>
        </w:rPr>
        <w:t>ent</w:t>
      </w:r>
      <w:proofErr w:type="gramEnd"/>
      <w:r w:rsidR="00513E86" w:rsidRPr="00513E86">
        <w:rPr>
          <w:lang w:eastAsia="ja-JP"/>
        </w:rPr>
        <w:t xml:space="preserve"> to be considered valid</w:t>
      </w:r>
      <w:r>
        <w:rPr>
          <w:lang w:eastAsia="ja-JP"/>
        </w:rPr>
        <w:t xml:space="preserve">. </w:t>
      </w:r>
    </w:p>
    <w:p w14:paraId="79F319F7" w14:textId="207A7FD8" w:rsidR="00A359F9" w:rsidRDefault="00A359F9" w:rsidP="00A359F9">
      <w:pPr>
        <w:keepNext/>
        <w:jc w:val="center"/>
      </w:pPr>
      <w:r w:rsidRPr="00A359F9">
        <w:rPr>
          <w:noProof/>
        </w:rPr>
        <w:lastRenderedPageBreak/>
        <w:drawing>
          <wp:inline distT="0" distB="0" distL="0" distR="0" wp14:anchorId="1E3B1C01" wp14:editId="73317D66">
            <wp:extent cx="5915025" cy="240491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19012" cy="2406537"/>
                    </a:xfrm>
                    <a:prstGeom prst="rect">
                      <a:avLst/>
                    </a:prstGeom>
                    <a:noFill/>
                    <a:ln>
                      <a:noFill/>
                    </a:ln>
                  </pic:spPr>
                </pic:pic>
              </a:graphicData>
            </a:graphic>
          </wp:inline>
        </w:drawing>
      </w:r>
    </w:p>
    <w:p w14:paraId="1C60E1C0" w14:textId="73764892" w:rsidR="00A359F9" w:rsidRDefault="00A359F9" w:rsidP="00A359F9">
      <w:pPr>
        <w:pStyle w:val="Caption"/>
        <w:jc w:val="center"/>
      </w:pPr>
      <w:bookmarkStart w:id="13" w:name="_Ref54388902"/>
      <w:r>
        <w:t xml:space="preserve">Figure </w:t>
      </w:r>
      <w:r>
        <w:fldChar w:fldCharType="begin"/>
      </w:r>
      <w:r>
        <w:instrText xml:space="preserve"> SEQ Figure \* ARABIC </w:instrText>
      </w:r>
      <w:r>
        <w:fldChar w:fldCharType="separate"/>
      </w:r>
      <w:r w:rsidR="00C8021E">
        <w:rPr>
          <w:noProof/>
        </w:rPr>
        <w:t>4</w:t>
      </w:r>
      <w:r>
        <w:fldChar w:fldCharType="end"/>
      </w:r>
      <w:bookmarkEnd w:id="13"/>
      <w:r>
        <w:t xml:space="preserve">: </w:t>
      </w:r>
      <w:r w:rsidR="006F6999">
        <w:t>Illustration of DL/UL transmissions and corresponding valid idle periods with ambiguity</w:t>
      </w:r>
    </w:p>
    <w:p w14:paraId="716859C4" w14:textId="77777777" w:rsidR="00A359F9" w:rsidRPr="00A359F9" w:rsidRDefault="00A359F9" w:rsidP="00A359F9">
      <w:pPr>
        <w:rPr>
          <w:lang w:eastAsia="en-GB"/>
        </w:rPr>
      </w:pPr>
    </w:p>
    <w:p w14:paraId="63ECF6D2" w14:textId="7991FA89" w:rsidR="00EC5F3E" w:rsidRDefault="00BA1873" w:rsidP="00513E86">
      <w:pPr>
        <w:rPr>
          <w:lang w:eastAsia="ja-JP"/>
        </w:rPr>
      </w:pPr>
      <w:r w:rsidRPr="00BA1873">
        <w:rPr>
          <w:lang w:eastAsia="ja-JP"/>
        </w:rPr>
        <w:t>Hence, it is necessary for UE to determine the valid idle period associated to a UL or DL transmission. Otherwise, operation</w:t>
      </w:r>
      <w:r>
        <w:rPr>
          <w:lang w:eastAsia="ja-JP"/>
        </w:rPr>
        <w:t xml:space="preserve"> would</w:t>
      </w:r>
      <w:r w:rsidRPr="00BA1873">
        <w:rPr>
          <w:lang w:eastAsia="ja-JP"/>
        </w:rPr>
        <w:t xml:space="preserve"> </w:t>
      </w:r>
      <w:r>
        <w:rPr>
          <w:lang w:eastAsia="ja-JP"/>
        </w:rPr>
        <w:t>be</w:t>
      </w:r>
      <w:r w:rsidRPr="00BA1873">
        <w:rPr>
          <w:lang w:eastAsia="ja-JP"/>
        </w:rPr>
        <w:t xml:space="preserve"> too restrictive and subject to misalignment between UE and gNB.</w:t>
      </w:r>
    </w:p>
    <w:p w14:paraId="7CB7C5B8" w14:textId="732259AF" w:rsidR="00245DDA" w:rsidRDefault="007424F2" w:rsidP="00513E86">
      <w:pPr>
        <w:rPr>
          <w:lang w:eastAsia="ja-JP"/>
        </w:rPr>
      </w:pPr>
      <w:r>
        <w:rPr>
          <w:lang w:eastAsia="ja-JP"/>
        </w:rPr>
        <w:t xml:space="preserve">In order to avoid ambiguity, </w:t>
      </w:r>
      <w:r w:rsidR="006D2FC9">
        <w:rPr>
          <w:lang w:eastAsia="ja-JP"/>
        </w:rPr>
        <w:t xml:space="preserve">since gNB controls all the transmissions, for dynamically scheduled transmissions </w:t>
      </w:r>
      <w:r w:rsidR="00245DDA">
        <w:rPr>
          <w:lang w:eastAsia="ja-JP"/>
        </w:rPr>
        <w:t>the</w:t>
      </w:r>
      <w:r w:rsidR="006D2FC9">
        <w:rPr>
          <w:lang w:eastAsia="ja-JP"/>
        </w:rPr>
        <w:t xml:space="preserve"> gNB can communicate </w:t>
      </w:r>
      <w:r w:rsidR="00245DDA">
        <w:rPr>
          <w:lang w:eastAsia="ja-JP"/>
        </w:rPr>
        <w:t xml:space="preserve">this information </w:t>
      </w:r>
      <w:r w:rsidR="005660D2">
        <w:rPr>
          <w:lang w:eastAsia="ja-JP"/>
        </w:rPr>
        <w:t>to</w:t>
      </w:r>
      <w:r w:rsidR="006D2FC9">
        <w:rPr>
          <w:lang w:eastAsia="ja-JP"/>
        </w:rPr>
        <w:t xml:space="preserve"> the UE via DCI</w:t>
      </w:r>
      <w:r w:rsidR="00245DDA">
        <w:rPr>
          <w:lang w:eastAsia="ja-JP"/>
        </w:rPr>
        <w:t>. T</w:t>
      </w:r>
      <w:r w:rsidR="006D2FC9">
        <w:rPr>
          <w:lang w:eastAsia="ja-JP"/>
        </w:rPr>
        <w:t xml:space="preserve">he gNB can indicate in the scheduling DCI whether the scheduled transmission is associated to </w:t>
      </w:r>
      <w:r w:rsidR="00245DDA">
        <w:rPr>
          <w:lang w:eastAsia="ja-JP"/>
        </w:rPr>
        <w:t>the</w:t>
      </w:r>
      <w:r w:rsidR="006D2FC9">
        <w:rPr>
          <w:lang w:eastAsia="ja-JP"/>
        </w:rPr>
        <w:t xml:space="preserve"> gNB initiated COT or UE initiated COT</w:t>
      </w:r>
      <w:r w:rsidR="00245DDA">
        <w:rPr>
          <w:lang w:eastAsia="ja-JP"/>
        </w:rPr>
        <w:t xml:space="preserve"> and hence, </w:t>
      </w:r>
      <w:r w:rsidR="006D2FC9">
        <w:rPr>
          <w:lang w:eastAsia="ja-JP"/>
        </w:rPr>
        <w:t xml:space="preserve">that the </w:t>
      </w:r>
      <w:r w:rsidR="00245DDA">
        <w:rPr>
          <w:lang w:eastAsia="ja-JP"/>
        </w:rPr>
        <w:t xml:space="preserve">valid idle period is the </w:t>
      </w:r>
      <w:r w:rsidR="006D2FC9">
        <w:rPr>
          <w:lang w:eastAsia="ja-JP"/>
        </w:rPr>
        <w:t>follow-up idle period in the current gNB-FFP or UE-FFP,</w:t>
      </w:r>
      <w:r w:rsidR="00245DDA">
        <w:rPr>
          <w:lang w:eastAsia="ja-JP"/>
        </w:rPr>
        <w:t xml:space="preserve"> respectively. Assuming the default assumption of gNB initiated COT, one-bit flag can indicate whether UE initiated COT is applicable.</w:t>
      </w:r>
    </w:p>
    <w:p w14:paraId="616457DB" w14:textId="256375E5" w:rsidR="00142937" w:rsidRDefault="00142937" w:rsidP="00513E86">
      <w:pPr>
        <w:rPr>
          <w:lang w:eastAsia="ja-JP"/>
        </w:rPr>
      </w:pPr>
      <w:r>
        <w:rPr>
          <w:lang w:eastAsia="ja-JP"/>
        </w:rPr>
        <w:t>For configured transmission, the association to a va</w:t>
      </w:r>
      <w:r w:rsidR="00231CC1">
        <w:rPr>
          <w:lang w:eastAsia="ja-JP"/>
        </w:rPr>
        <w:t>l</w:t>
      </w:r>
      <w:r>
        <w:rPr>
          <w:lang w:eastAsia="ja-JP"/>
        </w:rPr>
        <w:t xml:space="preserve">id idle period </w:t>
      </w:r>
      <w:r w:rsidR="00231CC1">
        <w:rPr>
          <w:lang w:eastAsia="ja-JP"/>
        </w:rPr>
        <w:t>can be determined based on a set of rules.</w:t>
      </w:r>
    </w:p>
    <w:p w14:paraId="03858459" w14:textId="44F10121" w:rsidR="00231CC1" w:rsidRDefault="00231CC1" w:rsidP="00142937">
      <w:pPr>
        <w:pStyle w:val="IvDbodytext"/>
        <w:spacing w:before="0"/>
        <w:jc w:val="both"/>
      </w:pPr>
      <w:r>
        <w:t>For example, i</w:t>
      </w:r>
      <w:r w:rsidR="00245DDA">
        <w:t xml:space="preserve">f a </w:t>
      </w:r>
      <w:r w:rsidR="00142937">
        <w:t xml:space="preserve">configured </w:t>
      </w:r>
      <w:r w:rsidR="00245DDA">
        <w:t xml:space="preserve">UL </w:t>
      </w:r>
      <w:r w:rsidR="00142937">
        <w:t xml:space="preserve">or DL </w:t>
      </w:r>
      <w:r w:rsidR="00245DDA">
        <w:t>transmission</w:t>
      </w:r>
      <w:r w:rsidR="00142937">
        <w:t xml:space="preserve"> </w:t>
      </w:r>
      <w:r w:rsidR="00245DDA">
        <w:t xml:space="preserve">starts at the beginning of an FFP and ends before the </w:t>
      </w:r>
      <w:r>
        <w:t xml:space="preserve">corresponding </w:t>
      </w:r>
      <w:r w:rsidR="00245DDA">
        <w:t xml:space="preserve">idle period </w:t>
      </w:r>
      <w:r>
        <w:t>for</w:t>
      </w:r>
      <w:r w:rsidR="00245DDA">
        <w:t xml:space="preserve"> that FFP, </w:t>
      </w:r>
      <w:r>
        <w:t>that idle period is the valid idle period.</w:t>
      </w:r>
    </w:p>
    <w:p w14:paraId="38AE0DA9" w14:textId="77777777" w:rsidR="00231CC1" w:rsidRDefault="00231CC1" w:rsidP="00142937">
      <w:pPr>
        <w:pStyle w:val="IvDbodytext"/>
        <w:spacing w:before="0"/>
        <w:jc w:val="both"/>
      </w:pPr>
    </w:p>
    <w:p w14:paraId="6CC5205C" w14:textId="1F7077BB" w:rsidR="00231CC1" w:rsidRDefault="00231CC1" w:rsidP="00142937">
      <w:pPr>
        <w:pStyle w:val="IvDbodytext"/>
        <w:spacing w:before="0"/>
        <w:jc w:val="both"/>
      </w:pPr>
      <w:r>
        <w:t>Therefore, we propose the following:</w:t>
      </w:r>
    </w:p>
    <w:p w14:paraId="5B8EC25D" w14:textId="0EC3559C" w:rsidR="00142937" w:rsidRDefault="00142937" w:rsidP="00142937">
      <w:pPr>
        <w:pStyle w:val="IvDbodytext"/>
        <w:spacing w:before="0"/>
        <w:jc w:val="both"/>
      </w:pPr>
    </w:p>
    <w:p w14:paraId="6522D720" w14:textId="77777777" w:rsidR="00142937" w:rsidRDefault="00142937" w:rsidP="00142937">
      <w:pPr>
        <w:pStyle w:val="Proposal"/>
      </w:pPr>
      <w:bookmarkStart w:id="14" w:name="_Toc54411797"/>
      <w:r w:rsidRPr="00BB36CD">
        <w:t xml:space="preserve">In semi-static channel access mode, </w:t>
      </w:r>
      <w:r>
        <w:t>when a UE is provided with both gNB FFP and UE FFP, the valid idle period associated to a DL or UL transmission is determined as follows:</w:t>
      </w:r>
      <w:bookmarkEnd w:id="14"/>
    </w:p>
    <w:p w14:paraId="6E9CFEB5" w14:textId="6CABF6D7" w:rsidR="00142937" w:rsidRDefault="00142937" w:rsidP="00142937">
      <w:pPr>
        <w:pStyle w:val="Proposal"/>
        <w:numPr>
          <w:ilvl w:val="0"/>
          <w:numId w:val="37"/>
        </w:numPr>
      </w:pPr>
      <w:bookmarkStart w:id="15" w:name="_Toc54411798"/>
      <w:r w:rsidRPr="00142937">
        <w:t>For scheduled transmiss</w:t>
      </w:r>
      <w:r>
        <w:t>i</w:t>
      </w:r>
      <w:r w:rsidRPr="00142937">
        <w:t>ons</w:t>
      </w:r>
      <w:r>
        <w:t xml:space="preserve">, </w:t>
      </w:r>
      <w:r w:rsidRPr="00142937">
        <w:t>the associated valid idle period i</w:t>
      </w:r>
      <w:r>
        <w:t>s</w:t>
      </w:r>
      <w:r w:rsidRPr="00142937">
        <w:t xml:space="preserve"> </w:t>
      </w:r>
      <w:r>
        <w:t>indicated in the scheduling DCI;</w:t>
      </w:r>
      <w:bookmarkEnd w:id="15"/>
    </w:p>
    <w:p w14:paraId="70443E7E" w14:textId="38432A8D" w:rsidR="00142937" w:rsidRDefault="00142937" w:rsidP="00142937">
      <w:pPr>
        <w:pStyle w:val="Proposal"/>
        <w:numPr>
          <w:ilvl w:val="0"/>
          <w:numId w:val="36"/>
        </w:numPr>
      </w:pPr>
      <w:bookmarkStart w:id="16" w:name="_Toc54411799"/>
      <w:r w:rsidRPr="00142937">
        <w:t xml:space="preserve">For configured transmissions, apply a rule to </w:t>
      </w:r>
      <w:r w:rsidR="00231CC1" w:rsidRPr="00142937">
        <w:t>determine</w:t>
      </w:r>
      <w:r w:rsidRPr="00142937">
        <w:t xml:space="preserve"> the associated valid idle period.</w:t>
      </w:r>
      <w:bookmarkEnd w:id="16"/>
    </w:p>
    <w:p w14:paraId="02B955C5" w14:textId="5A7466F3" w:rsidR="00D9745B" w:rsidRDefault="00D9745B" w:rsidP="00D9745B">
      <w:pPr>
        <w:pStyle w:val="Heading2"/>
      </w:pPr>
      <w:r>
        <w:t>2.2</w:t>
      </w:r>
      <w:r>
        <w:tab/>
        <w:t>Harmonization of UL CG for operation on unlicensed band</w:t>
      </w:r>
    </w:p>
    <w:p w14:paraId="3E9E4D79" w14:textId="7FDBCE93" w:rsidR="00667FEA" w:rsidRPr="00667FEA" w:rsidRDefault="00667FEA" w:rsidP="00667FEA">
      <w:pPr>
        <w:pStyle w:val="Heading3"/>
      </w:pPr>
      <w:r>
        <w:t>2.2.1</w:t>
      </w:r>
      <w:r>
        <w:tab/>
        <w:t>Dynamic channel access in controlled environments</w:t>
      </w:r>
    </w:p>
    <w:p w14:paraId="54B5DD91" w14:textId="222D0CA8" w:rsidR="005C1E50" w:rsidRDefault="001F1E2E" w:rsidP="005C1E50">
      <w:pPr>
        <w:rPr>
          <w:rFonts w:cs="Arial"/>
        </w:rPr>
      </w:pPr>
      <w:r>
        <w:rPr>
          <w:lang w:eastAsia="ja-JP"/>
        </w:rPr>
        <w:t xml:space="preserve">In the previous meeting, </w:t>
      </w:r>
      <w:r w:rsidRPr="001F1E2E">
        <w:rPr>
          <w:rFonts w:cs="Arial"/>
          <w:i/>
          <w:iCs/>
        </w:rPr>
        <w:t>cg-RetransmissionTimer</w:t>
      </w:r>
      <w:r w:rsidRPr="001F1E2E">
        <w:rPr>
          <w:rFonts w:cs="Arial"/>
        </w:rPr>
        <w:t xml:space="preserve"> was </w:t>
      </w:r>
      <w:r>
        <w:rPr>
          <w:rFonts w:cs="Arial"/>
        </w:rPr>
        <w:t>agreed to be an optional RRC parameter for unlicensed band operation</w:t>
      </w:r>
      <w:r w:rsidR="00796114">
        <w:rPr>
          <w:rFonts w:cs="Arial"/>
        </w:rPr>
        <w:t xml:space="preserve"> using semi-static channel access mod</w:t>
      </w:r>
      <w:r w:rsidR="003E4432">
        <w:rPr>
          <w:rFonts w:cs="Arial"/>
        </w:rPr>
        <w:t>e</w:t>
      </w:r>
      <w:r w:rsidR="00796114">
        <w:rPr>
          <w:rFonts w:cs="Arial"/>
        </w:rPr>
        <w:t xml:space="preserve"> (a.k.a. FBE).</w:t>
      </w:r>
    </w:p>
    <w:p w14:paraId="20779CF8" w14:textId="2E90E39A" w:rsidR="00796114" w:rsidRDefault="00796114" w:rsidP="005C1E50">
      <w:pPr>
        <w:rPr>
          <w:rFonts w:cs="Arial"/>
        </w:rPr>
      </w:pPr>
      <w:r>
        <w:rPr>
          <w:rFonts w:cs="Arial"/>
        </w:rPr>
        <w:t xml:space="preserve">From our perspective, this parameter should be considered also optional for dynamic channel access mode (a.k.a. LBE).  It is important to note that FBE based channel access is conceptually simpler. However, that does not imply that LBE channel access is not </w:t>
      </w:r>
      <w:r w:rsidR="005C1E50" w:rsidRPr="005C1E50">
        <w:rPr>
          <w:lang w:eastAsia="ja-JP"/>
        </w:rPr>
        <w:t>applicable for URLLC/</w:t>
      </w:r>
      <w:proofErr w:type="spellStart"/>
      <w:r w:rsidR="005C1E50" w:rsidRPr="005C1E50">
        <w:rPr>
          <w:lang w:eastAsia="ja-JP"/>
        </w:rPr>
        <w:t>IIoT</w:t>
      </w:r>
      <w:proofErr w:type="spellEnd"/>
      <w:r w:rsidR="005C1E50" w:rsidRPr="005C1E50">
        <w:rPr>
          <w:lang w:eastAsia="ja-JP"/>
        </w:rPr>
        <w:t xml:space="preserve"> operations in controlled environments</w:t>
      </w:r>
      <w:r>
        <w:rPr>
          <w:lang w:eastAsia="ja-JP"/>
        </w:rPr>
        <w:t xml:space="preserve">. </w:t>
      </w:r>
      <w:r w:rsidR="00C04E49">
        <w:rPr>
          <w:lang w:eastAsia="ja-JP"/>
        </w:rPr>
        <w:t>The arguments to consider</w:t>
      </w:r>
      <w:r>
        <w:rPr>
          <w:lang w:eastAsia="ja-JP"/>
        </w:rPr>
        <w:t xml:space="preserve"> </w:t>
      </w:r>
      <w:r w:rsidR="00C04E49" w:rsidRPr="001F1E2E">
        <w:rPr>
          <w:rFonts w:cs="Arial"/>
          <w:i/>
          <w:iCs/>
        </w:rPr>
        <w:t>cg-RetransmissionTimer</w:t>
      </w:r>
      <w:r w:rsidR="00C04E49">
        <w:rPr>
          <w:rFonts w:cs="Arial"/>
          <w:i/>
          <w:iCs/>
        </w:rPr>
        <w:t xml:space="preserve"> </w:t>
      </w:r>
      <w:r w:rsidR="00C04E49">
        <w:rPr>
          <w:rFonts w:cs="Arial"/>
        </w:rPr>
        <w:t>optional for FBE is equally valid to keep this feature optional for LBE. Hence</w:t>
      </w:r>
      <w:r w:rsidR="00667FEA">
        <w:rPr>
          <w:rFonts w:cs="Arial"/>
        </w:rPr>
        <w:t>,</w:t>
      </w:r>
      <w:r w:rsidR="00C04E49">
        <w:rPr>
          <w:rFonts w:cs="Arial"/>
        </w:rPr>
        <w:t xml:space="preserve"> we propose the following:</w:t>
      </w:r>
    </w:p>
    <w:p w14:paraId="6F462DE0" w14:textId="509A82B5" w:rsidR="00C04E49" w:rsidRPr="00C04E49" w:rsidRDefault="00C04E49" w:rsidP="00C04E49">
      <w:pPr>
        <w:pStyle w:val="Proposal"/>
      </w:pPr>
      <w:bookmarkStart w:id="17" w:name="_Toc54411800"/>
      <w:r>
        <w:lastRenderedPageBreak/>
        <w:t xml:space="preserve">Configuration of </w:t>
      </w:r>
      <w:r>
        <w:rPr>
          <w:i/>
          <w:iCs/>
        </w:rPr>
        <w:t>cg-RetransmissionTimer</w:t>
      </w:r>
      <w:r>
        <w:t xml:space="preserve"> is optional when configured grant Type 1 or Type 2 are configured on unlicensed spectrum.</w:t>
      </w:r>
      <w:bookmarkEnd w:id="17"/>
    </w:p>
    <w:p w14:paraId="1E6CCC92" w14:textId="77777777" w:rsidR="00667FEA" w:rsidRPr="00A30686" w:rsidRDefault="00667FEA" w:rsidP="00667FEA">
      <w:pPr>
        <w:pStyle w:val="Heading3"/>
      </w:pPr>
      <w:r>
        <w:t>2.2.2</w:t>
      </w:r>
      <w:r>
        <w:tab/>
        <w:t>Harmonization of UL CG for operation on unlicensed band</w:t>
      </w:r>
    </w:p>
    <w:p w14:paraId="7D26B162" w14:textId="53291F93" w:rsidR="00667FEA" w:rsidRPr="00361F80" w:rsidRDefault="00667FEA" w:rsidP="00667FEA">
      <w:r>
        <w:t>Harmonization of UL CG was extensively discussed during the previous meetings. Three following options were discussed with majority of views in favor of either Option 2 or Option 3:</w:t>
      </w:r>
    </w:p>
    <w:p w14:paraId="05488BC1" w14:textId="77777777" w:rsidR="00667FEA" w:rsidRPr="002C22BA" w:rsidRDefault="00667FEA" w:rsidP="00667FEA">
      <w:pPr>
        <w:numPr>
          <w:ilvl w:val="0"/>
          <w:numId w:val="36"/>
        </w:numPr>
        <w:spacing w:after="0" w:line="240" w:lineRule="auto"/>
        <w:ind w:left="567" w:hanging="567"/>
      </w:pPr>
      <w:r>
        <w:t>Option 1: Operation based on only URLLC CG features</w:t>
      </w:r>
    </w:p>
    <w:p w14:paraId="4B262542" w14:textId="74994503" w:rsidR="00667FEA" w:rsidRPr="00361F80" w:rsidRDefault="00667FEA" w:rsidP="00667FEA">
      <w:pPr>
        <w:pStyle w:val="ListParagraph"/>
        <w:numPr>
          <w:ilvl w:val="0"/>
          <w:numId w:val="36"/>
        </w:numPr>
        <w:spacing w:after="180"/>
        <w:ind w:left="567" w:hanging="567"/>
        <w:contextualSpacing/>
        <w:rPr>
          <w:b/>
          <w:bCs/>
          <w:u w:val="single"/>
          <w:lang w:val="en-US"/>
        </w:rPr>
      </w:pPr>
      <w:r>
        <w:rPr>
          <w:lang w:val="en-US"/>
        </w:rPr>
        <w:t xml:space="preserve">Option 2: </w:t>
      </w:r>
      <w:r>
        <w:t>Operation based on either URLLC CG features or NR-U CG features (NW configurability between two independent operational modes)</w:t>
      </w:r>
    </w:p>
    <w:p w14:paraId="11702D05" w14:textId="77777777" w:rsidR="00667FEA" w:rsidRPr="00361F80" w:rsidRDefault="00667FEA" w:rsidP="00667FEA">
      <w:pPr>
        <w:pStyle w:val="ListParagraph"/>
        <w:numPr>
          <w:ilvl w:val="0"/>
          <w:numId w:val="36"/>
        </w:numPr>
        <w:spacing w:after="180"/>
        <w:ind w:left="567" w:hanging="567"/>
        <w:contextualSpacing/>
        <w:rPr>
          <w:b/>
          <w:bCs/>
          <w:u w:val="single"/>
          <w:lang w:val="en-US"/>
        </w:rPr>
      </w:pPr>
      <w:r w:rsidRPr="002C22BA">
        <w:rPr>
          <w:lang w:val="en-US"/>
        </w:rPr>
        <w:t xml:space="preserve">Option 3: </w:t>
      </w:r>
      <w:r>
        <w:t>Operation based on combined URLLC and NR-U CG features</w:t>
      </w:r>
    </w:p>
    <w:p w14:paraId="177BDCB4" w14:textId="77777777" w:rsidR="00667FEA" w:rsidRPr="00BA1B15" w:rsidRDefault="00667FEA" w:rsidP="00667FEA">
      <w:pPr>
        <w:spacing w:after="180"/>
        <w:contextualSpacing/>
      </w:pPr>
      <w:r w:rsidRPr="00BA1B15">
        <w:t>Since views were not converged, the following guideline for follow-up work was concluded:</w:t>
      </w:r>
    </w:p>
    <w:p w14:paraId="05CEAE99" w14:textId="77777777" w:rsidR="00667FEA" w:rsidRDefault="00667FEA" w:rsidP="00D82318">
      <w:pPr>
        <w:pStyle w:val="ListParagraph"/>
        <w:spacing w:after="180"/>
        <w:ind w:left="567"/>
        <w:contextualSpacing/>
        <w:rPr>
          <w:b/>
          <w:bCs/>
          <w:u w:val="single"/>
        </w:rPr>
      </w:pPr>
      <w:r>
        <w:rPr>
          <w:b/>
          <w:bCs/>
          <w:u w:val="single"/>
        </w:rPr>
        <w:t>Conclusion:</w:t>
      </w:r>
    </w:p>
    <w:p w14:paraId="650CE8D0" w14:textId="78819832" w:rsidR="00667FEA" w:rsidRDefault="00667FEA" w:rsidP="00D82318">
      <w:pPr>
        <w:ind w:left="567"/>
      </w:pPr>
      <w:r>
        <w:t xml:space="preserve">Further study and decide how to harmonize the CG features for Rel-16 URLLC and Rel-16 NR-U. Table 1 in </w:t>
      </w:r>
      <w:hyperlink r:id="rId16" w:history="1">
        <w:r>
          <w:rPr>
            <w:rStyle w:val="Hyperlink"/>
          </w:rPr>
          <w:t>R1-2005376</w:t>
        </w:r>
      </w:hyperlink>
      <w:r>
        <w:t xml:space="preserve"> can be used as a starting point for the corresponding discussion and decision</w:t>
      </w:r>
    </w:p>
    <w:p w14:paraId="376D0708" w14:textId="77777777" w:rsidR="00D82318" w:rsidRDefault="00D82318" w:rsidP="00575553"/>
    <w:p w14:paraId="005E8E21" w14:textId="36E9BC8E" w:rsidR="00575553" w:rsidRDefault="000761CE" w:rsidP="00575553">
      <w:r w:rsidRPr="00575553">
        <w:t xml:space="preserve">Table 1 </w:t>
      </w:r>
      <w:r w:rsidR="00D82318">
        <w:t xml:space="preserve">is </w:t>
      </w:r>
      <w:r w:rsidRPr="00575553">
        <w:t xml:space="preserve">shown below where </w:t>
      </w:r>
      <w:r w:rsidR="00D67816" w:rsidRPr="00575553">
        <w:t>we have color coded the features, where each color includes a set of features that are inter-related in our view.</w:t>
      </w:r>
      <w:r w:rsidRPr="00575553">
        <w:t xml:space="preserve"> Based on our investigations o</w:t>
      </w:r>
      <w:r w:rsidR="00575553">
        <w:t>n</w:t>
      </w:r>
      <w:r w:rsidRPr="00575553">
        <w:t xml:space="preserve"> </w:t>
      </w:r>
      <w:r w:rsidR="00575553" w:rsidRPr="00575553">
        <w:t xml:space="preserve">functionality </w:t>
      </w:r>
      <w:r w:rsidR="00CD7D2E">
        <w:t xml:space="preserve">of the features </w:t>
      </w:r>
      <w:r w:rsidRPr="00575553">
        <w:t>and corresponding RRC parameters,</w:t>
      </w:r>
      <w:r w:rsidR="00D4438D" w:rsidRPr="00575553">
        <w:t xml:space="preserve"> </w:t>
      </w:r>
      <w:r w:rsidR="00575553" w:rsidRPr="00575553">
        <w:t>we observe the following:</w:t>
      </w:r>
    </w:p>
    <w:p w14:paraId="5516FA4B" w14:textId="3FF357B2" w:rsidR="00575553" w:rsidRDefault="00D82318" w:rsidP="00575553">
      <w:r>
        <w:t xml:space="preserve">In Rel-16 NR-U, UE selects HARQ process ID and RV and reports these parameters to the gNB </w:t>
      </w:r>
      <w:r w:rsidR="00CD7D2E">
        <w:t>via</w:t>
      </w:r>
      <w:r>
        <w:t xml:space="preserve"> CG-UCI. </w:t>
      </w:r>
      <w:r w:rsidR="00575553" w:rsidRPr="00575553">
        <w:t>In</w:t>
      </w:r>
      <w:r>
        <w:t xml:space="preserve"> addition,</w:t>
      </w:r>
      <w:r w:rsidR="00575553" w:rsidRPr="00575553">
        <w:t xml:space="preserve"> autonomous retransmission is always enabled for NR-U UL CG since the RRC parameter cg-RetransmissionTimer is always configured for operation in unlicensed band.</w:t>
      </w:r>
      <w:r>
        <w:t xml:space="preserve"> </w:t>
      </w:r>
      <w:r w:rsidR="00575553" w:rsidRPr="00575553">
        <w:t xml:space="preserve">If the cg-RetransmissionTimer is not configured, UE falls back to Rel-16 URLLC UL CG behaviors, which means: the UE is not expected to send CG-UCI, monitor CG-DFI, or perform autonomous retransmission. Instead, it follows Rel-16 URLLC behavior for assigning a CG transmission to a HARQ process ID. </w:t>
      </w:r>
    </w:p>
    <w:p w14:paraId="4F65AFF5" w14:textId="77777777" w:rsidR="0025480A" w:rsidRPr="00D4438D" w:rsidRDefault="0025480A" w:rsidP="0025480A">
      <w:pPr>
        <w:pStyle w:val="Observation"/>
        <w:rPr>
          <w:rStyle w:val="IvDbodytextChar"/>
          <w:i/>
          <w:szCs w:val="20"/>
        </w:rPr>
      </w:pPr>
      <w:bookmarkStart w:id="18" w:name="_Toc54411790"/>
      <w:r>
        <w:rPr>
          <w:rStyle w:val="IvDbodytextChar"/>
          <w:szCs w:val="20"/>
        </w:rPr>
        <w:t>Many different NR-U CG features are coupled with same higher layer parameter (e.g. cg-RetransmissionTimer).</w:t>
      </w:r>
      <w:bookmarkEnd w:id="18"/>
    </w:p>
    <w:p w14:paraId="6A27E9F8" w14:textId="07F2A7AB" w:rsidR="0025480A" w:rsidRPr="0025480A" w:rsidRDefault="0025480A" w:rsidP="0025480A">
      <w:pPr>
        <w:pStyle w:val="Observation"/>
        <w:rPr>
          <w:rStyle w:val="IvDbodytextChar"/>
          <w:i/>
          <w:szCs w:val="20"/>
        </w:rPr>
      </w:pPr>
      <w:bookmarkStart w:id="19" w:name="_Toc54411791"/>
      <w:r>
        <w:rPr>
          <w:rStyle w:val="IvDbodytextChar"/>
          <w:szCs w:val="20"/>
        </w:rPr>
        <w:t>Without decoupling features from the same higher layer parameter, combining URLLC and NR-U features is not feasible.</w:t>
      </w:r>
      <w:r>
        <w:rPr>
          <w:rStyle w:val="IvDbodytextChar"/>
          <w:i/>
          <w:szCs w:val="20"/>
        </w:rPr>
        <w:t xml:space="preserve"> </w:t>
      </w:r>
      <w:r>
        <w:rPr>
          <w:rStyle w:val="IvDbodytextChar"/>
          <w:iCs/>
          <w:szCs w:val="20"/>
        </w:rPr>
        <w:t>One possibility is</w:t>
      </w:r>
      <w:r w:rsidR="00D13CE4">
        <w:rPr>
          <w:rStyle w:val="IvDbodytextChar"/>
          <w:iCs/>
          <w:szCs w:val="20"/>
        </w:rPr>
        <w:t xml:space="preserve"> to use same </w:t>
      </w:r>
      <w:r>
        <w:rPr>
          <w:rStyle w:val="IvDbodytextChar"/>
          <w:iCs/>
          <w:szCs w:val="20"/>
        </w:rPr>
        <w:t>RRC parameter f</w:t>
      </w:r>
      <w:r w:rsidRPr="0025480A">
        <w:rPr>
          <w:rStyle w:val="IvDbodytextChar"/>
          <w:iCs/>
          <w:szCs w:val="20"/>
        </w:rPr>
        <w:t xml:space="preserve">or </w:t>
      </w:r>
      <w:r>
        <w:rPr>
          <w:rStyle w:val="IvDbodytextChar"/>
          <w:szCs w:val="20"/>
        </w:rPr>
        <w:t>f</w:t>
      </w:r>
      <w:r w:rsidRPr="0025480A">
        <w:rPr>
          <w:rStyle w:val="IvDbodytextChar"/>
          <w:szCs w:val="20"/>
        </w:rPr>
        <w:t>eature</w:t>
      </w:r>
      <w:r>
        <w:rPr>
          <w:rStyle w:val="IvDbodytextChar"/>
          <w:szCs w:val="20"/>
        </w:rPr>
        <w:t>s</w:t>
      </w:r>
      <w:r w:rsidRPr="0025480A">
        <w:rPr>
          <w:rStyle w:val="IvDbodytextChar"/>
          <w:szCs w:val="20"/>
        </w:rPr>
        <w:t xml:space="preserve"> under a single attribute</w:t>
      </w:r>
      <w:r w:rsidR="00D13CE4">
        <w:rPr>
          <w:rStyle w:val="IvDbodytextChar"/>
          <w:szCs w:val="20"/>
        </w:rPr>
        <w:t>, but different RRC parameters for features in different attribute</w:t>
      </w:r>
      <w:r w:rsidRPr="0025480A">
        <w:rPr>
          <w:rStyle w:val="IvDbodytextChar"/>
          <w:szCs w:val="20"/>
        </w:rPr>
        <w:t>.</w:t>
      </w:r>
      <w:bookmarkEnd w:id="19"/>
    </w:p>
    <w:p w14:paraId="20590DB1" w14:textId="77777777" w:rsidR="0025480A" w:rsidRDefault="0025480A" w:rsidP="00575553"/>
    <w:p w14:paraId="6B322598" w14:textId="3B97587F" w:rsidR="00D82318" w:rsidRDefault="00D13CE4" w:rsidP="00575553">
      <w:r>
        <w:t>From our point of view, whether to use NR-U CG features or URLLC CG features, can be achieved by configuration of cg-RetransmissionTimer. However,</w:t>
      </w:r>
      <w:r w:rsidR="00D82318">
        <w:t xml:space="preserve"> in order to use the URLLC CG features in unlicensed, </w:t>
      </w:r>
      <w:r>
        <w:t xml:space="preserve">even when cg-RetransmissionTimer is not configured, </w:t>
      </w:r>
      <w:r w:rsidR="00D82318">
        <w:t xml:space="preserve">we observe that </w:t>
      </w:r>
      <w:r w:rsidR="0025480A">
        <w:t xml:space="preserve">URLLC HARQ process ID </w:t>
      </w:r>
      <w:r>
        <w:t xml:space="preserve">cannot used since it </w:t>
      </w:r>
      <w:r w:rsidR="0025480A">
        <w:t>is limited only to licensed. This restriction should be removed.</w:t>
      </w:r>
    </w:p>
    <w:p w14:paraId="382AD2DC" w14:textId="1D4DFC2A" w:rsidR="00D13CE4" w:rsidRDefault="00D13CE4" w:rsidP="00575553">
      <w:r>
        <w:t xml:space="preserve">Finally, we believe that the PUSCH repetition resource allocation schemes developed in NR-U </w:t>
      </w:r>
      <w:r w:rsidR="00CD7D2E">
        <w:t>are</w:t>
      </w:r>
      <w:r>
        <w:t xml:space="preserve"> useful for URLLC operation in unlicensed, </w:t>
      </w:r>
      <w:r w:rsidR="008E7B7F">
        <w:t>especially</w:t>
      </w:r>
      <w:r>
        <w:t xml:space="preserve"> in case of channel access based </w:t>
      </w:r>
      <w:r w:rsidR="00CD7D2E">
        <w:t xml:space="preserve">on </w:t>
      </w:r>
      <w:r>
        <w:t xml:space="preserve">FBE where segmentation can be avoided in idle period. </w:t>
      </w:r>
    </w:p>
    <w:p w14:paraId="7795BCAF" w14:textId="3CFC5B92" w:rsidR="0025480A" w:rsidRPr="00575553" w:rsidRDefault="00D13CE4" w:rsidP="00575553">
      <w:r>
        <w:t>Therefore, we propose the following:</w:t>
      </w:r>
    </w:p>
    <w:p w14:paraId="62F3EC56" w14:textId="77F7B4DC" w:rsidR="00D67816" w:rsidRDefault="00D67816" w:rsidP="00D67816">
      <w:pPr>
        <w:pStyle w:val="BodyText"/>
      </w:pPr>
    </w:p>
    <w:p w14:paraId="154970DE" w14:textId="29B5DDC9" w:rsidR="000761CE" w:rsidRPr="00C8021E" w:rsidRDefault="000761CE" w:rsidP="00C8021E">
      <w:pPr>
        <w:pStyle w:val="Proposal"/>
      </w:pPr>
      <w:bookmarkStart w:id="20" w:name="_Toc54411801"/>
      <w:r w:rsidRPr="000761CE">
        <w:t xml:space="preserve">Ensure NR-U UL CG features (CG-UCI, CG-DFI, </w:t>
      </w:r>
      <w:r>
        <w:t>cg-RetransmissionTimer</w:t>
      </w:r>
      <w:r w:rsidRPr="000761CE">
        <w:t>) are enabled with configuration of an RRC parameter</w:t>
      </w:r>
      <w:r w:rsidR="00C8021E">
        <w:t xml:space="preserve"> </w:t>
      </w:r>
      <w:r w:rsidRPr="000761CE">
        <w:t xml:space="preserve">(e.g. </w:t>
      </w:r>
      <w:r w:rsidRPr="00C8021E">
        <w:rPr>
          <w:i/>
          <w:iCs/>
        </w:rPr>
        <w:t>cg-RetransmissionTimer)</w:t>
      </w:r>
      <w:bookmarkEnd w:id="20"/>
      <w:r w:rsidRPr="00C8021E">
        <w:rPr>
          <w:i/>
          <w:iCs/>
        </w:rPr>
        <w:t xml:space="preserve"> </w:t>
      </w:r>
    </w:p>
    <w:p w14:paraId="3D7BA727" w14:textId="77777777" w:rsidR="000761CE" w:rsidRPr="000761CE" w:rsidRDefault="000761CE" w:rsidP="000761CE">
      <w:pPr>
        <w:pStyle w:val="Proposal"/>
      </w:pPr>
      <w:bookmarkStart w:id="21" w:name="_Toc54411802"/>
      <w:r w:rsidRPr="000761CE">
        <w:t>Ensure UL CG operation based on Rel-16 URLLC features is fully supported in unlicensed as in licensed.</w:t>
      </w:r>
      <w:bookmarkEnd w:id="21"/>
      <w:r w:rsidRPr="000761CE">
        <w:t xml:space="preserve"> </w:t>
      </w:r>
    </w:p>
    <w:p w14:paraId="4BC846FA" w14:textId="77777777" w:rsidR="000761CE" w:rsidRPr="000761CE" w:rsidRDefault="000761CE" w:rsidP="000761CE">
      <w:pPr>
        <w:pStyle w:val="Proposal"/>
        <w:numPr>
          <w:ilvl w:val="2"/>
          <w:numId w:val="3"/>
        </w:numPr>
      </w:pPr>
      <w:bookmarkStart w:id="22" w:name="_Toc54411803"/>
      <w:r w:rsidRPr="000761CE">
        <w:t xml:space="preserve">Enable configuration of </w:t>
      </w:r>
      <w:r w:rsidRPr="000761CE">
        <w:rPr>
          <w:i/>
          <w:iCs/>
          <w:lang w:val="x-none"/>
        </w:rPr>
        <w:t>harq-ProcID-Offset2</w:t>
      </w:r>
      <w:r w:rsidRPr="000761CE">
        <w:t xml:space="preserve"> for unlicensed</w:t>
      </w:r>
      <w:bookmarkEnd w:id="22"/>
    </w:p>
    <w:p w14:paraId="5D57CD6B" w14:textId="7DE9C44C" w:rsidR="000761CE" w:rsidRPr="000761CE" w:rsidRDefault="000761CE" w:rsidP="000761CE">
      <w:pPr>
        <w:pStyle w:val="Proposal"/>
      </w:pPr>
      <w:bookmarkStart w:id="23" w:name="_Toc54411804"/>
      <w:r w:rsidRPr="000761CE">
        <w:rPr>
          <w:lang w:val="en-GB"/>
        </w:rPr>
        <w:lastRenderedPageBreak/>
        <w:t xml:space="preserve">Enable configuration of </w:t>
      </w:r>
      <w:r w:rsidRPr="000761CE">
        <w:rPr>
          <w:i/>
          <w:iCs/>
          <w:lang w:val="en-GB"/>
        </w:rPr>
        <w:t>cg-nrofSlots-r16</w:t>
      </w:r>
      <w:r w:rsidRPr="000761CE">
        <w:rPr>
          <w:lang w:val="en-GB"/>
        </w:rPr>
        <w:t xml:space="preserve">, </w:t>
      </w:r>
      <w:r w:rsidRPr="000761CE">
        <w:rPr>
          <w:i/>
          <w:iCs/>
          <w:lang w:val="en-GB"/>
        </w:rPr>
        <w:t>cg-nrofPUSCH-InSlot-r16</w:t>
      </w:r>
      <w:r w:rsidRPr="000761CE">
        <w:rPr>
          <w:lang w:val="en-GB"/>
        </w:rPr>
        <w:t xml:space="preserve"> for UL CG without CG-UCI.</w:t>
      </w:r>
      <w:bookmarkEnd w:id="23"/>
    </w:p>
    <w:p w14:paraId="0C707198" w14:textId="77777777" w:rsidR="000761CE" w:rsidRPr="000761CE" w:rsidRDefault="000761CE" w:rsidP="000761CE">
      <w:pPr>
        <w:pStyle w:val="Proposal"/>
        <w:numPr>
          <w:ilvl w:val="2"/>
          <w:numId w:val="3"/>
        </w:numPr>
      </w:pPr>
      <w:bookmarkStart w:id="24" w:name="_Toc54411805"/>
      <w:r w:rsidRPr="000761CE">
        <w:rPr>
          <w:lang w:val="en-GB"/>
        </w:rPr>
        <w:t>Simplified repetition Type B (without segmentation)</w:t>
      </w:r>
      <w:bookmarkEnd w:id="24"/>
    </w:p>
    <w:p w14:paraId="1B759455" w14:textId="42141271" w:rsidR="00231CC1" w:rsidRPr="00667FEA" w:rsidRDefault="00231CC1" w:rsidP="00D9745B">
      <w:pPr>
        <w:rPr>
          <w:rFonts w:cs="Arial"/>
          <w:lang w:val="en-GB"/>
        </w:rPr>
      </w:pPr>
    </w:p>
    <w:p w14:paraId="7494997A" w14:textId="69608532" w:rsidR="00D67816" w:rsidRDefault="00D67816" w:rsidP="00D67816">
      <w:pPr>
        <w:pStyle w:val="Caption"/>
        <w:keepNext/>
        <w:jc w:val="center"/>
      </w:pPr>
      <w:bookmarkStart w:id="25" w:name="_Ref54403224"/>
      <w:r>
        <w:t xml:space="preserve">Table </w:t>
      </w:r>
      <w:r>
        <w:fldChar w:fldCharType="begin"/>
      </w:r>
      <w:r>
        <w:instrText xml:space="preserve"> SEQ Table \* ARABIC </w:instrText>
      </w:r>
      <w:r>
        <w:fldChar w:fldCharType="separate"/>
      </w:r>
      <w:r w:rsidR="00C8021E">
        <w:rPr>
          <w:noProof/>
        </w:rPr>
        <w:t>1</w:t>
      </w:r>
      <w:r>
        <w:fldChar w:fldCharType="end"/>
      </w:r>
      <w:bookmarkEnd w:id="25"/>
      <w:r>
        <w:t xml:space="preserve">: </w:t>
      </w:r>
      <w:r>
        <w:rPr>
          <w:rFonts w:eastAsia="DengXian"/>
          <w:lang w:eastAsia="zh-CN"/>
        </w:rPr>
        <w:t>Configured grant (CG) features supported in Rel.16 NR-U and Rel.16 URLLC</w:t>
      </w:r>
    </w:p>
    <w:tbl>
      <w:tblPr>
        <w:tblW w:w="10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1"/>
        <w:gridCol w:w="2547"/>
        <w:gridCol w:w="3085"/>
        <w:gridCol w:w="3138"/>
      </w:tblGrid>
      <w:tr w:rsidR="00E40654" w:rsidRPr="00A964E7" w14:paraId="21624DC7" w14:textId="77777777" w:rsidTr="00D67816">
        <w:trPr>
          <w:trHeight w:val="920"/>
          <w:jc w:val="center"/>
        </w:trPr>
        <w:tc>
          <w:tcPr>
            <w:tcW w:w="1451" w:type="dxa"/>
            <w:tcBorders>
              <w:top w:val="single" w:sz="4" w:space="0" w:color="auto"/>
              <w:left w:val="single" w:sz="4" w:space="0" w:color="auto"/>
              <w:bottom w:val="single" w:sz="4" w:space="0" w:color="auto"/>
              <w:right w:val="single" w:sz="4" w:space="0" w:color="auto"/>
            </w:tcBorders>
            <w:shd w:val="clear" w:color="auto" w:fill="FFFFFF" w:themeFill="background1"/>
          </w:tcPr>
          <w:p w14:paraId="5833C735" w14:textId="77777777" w:rsidR="00E40654" w:rsidRPr="00EF3372" w:rsidRDefault="00E40654" w:rsidP="00F90795">
            <w:pPr>
              <w:spacing w:afterLines="50" w:after="120"/>
              <w:jc w:val="center"/>
              <w:rPr>
                <w:b/>
                <w:sz w:val="16"/>
                <w:szCs w:val="16"/>
                <w:lang w:eastAsia="zh-CN"/>
              </w:rPr>
            </w:pPr>
            <w:r>
              <w:rPr>
                <w:b/>
                <w:sz w:val="16"/>
                <w:szCs w:val="16"/>
                <w:lang w:eastAsia="zh-CN"/>
              </w:rPr>
              <w:t>Collection of features under a single attribute if applicable</w:t>
            </w:r>
          </w:p>
        </w:tc>
        <w:tc>
          <w:tcPr>
            <w:tcW w:w="25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6E2933" w14:textId="77777777" w:rsidR="00E40654" w:rsidRPr="00940DAB" w:rsidRDefault="00E40654" w:rsidP="00F90795">
            <w:pPr>
              <w:spacing w:afterLines="50" w:after="120"/>
              <w:jc w:val="center"/>
              <w:rPr>
                <w:b/>
                <w:sz w:val="16"/>
                <w:szCs w:val="16"/>
                <w:lang w:eastAsia="zh-CN"/>
              </w:rPr>
            </w:pPr>
            <w:r w:rsidRPr="00EF3372">
              <w:rPr>
                <w:b/>
                <w:sz w:val="16"/>
                <w:szCs w:val="16"/>
                <w:lang w:eastAsia="zh-CN"/>
              </w:rPr>
              <w:t>CG features</w:t>
            </w:r>
          </w:p>
        </w:tc>
        <w:tc>
          <w:tcPr>
            <w:tcW w:w="30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2F6769" w14:textId="77777777" w:rsidR="00E40654" w:rsidRPr="00343387" w:rsidRDefault="00E40654" w:rsidP="00F90795">
            <w:pPr>
              <w:spacing w:afterLines="50" w:after="120"/>
              <w:jc w:val="center"/>
              <w:rPr>
                <w:b/>
                <w:sz w:val="16"/>
                <w:szCs w:val="16"/>
                <w:lang w:eastAsia="zh-CN"/>
              </w:rPr>
            </w:pPr>
            <w:r w:rsidRPr="00343387">
              <w:rPr>
                <w:b/>
                <w:sz w:val="16"/>
                <w:szCs w:val="16"/>
                <w:lang w:eastAsia="zh-CN"/>
              </w:rPr>
              <w:t>Rel.16 URLLC</w:t>
            </w:r>
          </w:p>
        </w:tc>
        <w:tc>
          <w:tcPr>
            <w:tcW w:w="31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9F17D5" w14:textId="77777777" w:rsidR="00E40654" w:rsidRPr="00343387" w:rsidRDefault="00E40654" w:rsidP="00F90795">
            <w:pPr>
              <w:spacing w:afterLines="50" w:after="120"/>
              <w:jc w:val="center"/>
              <w:rPr>
                <w:b/>
                <w:sz w:val="16"/>
                <w:szCs w:val="16"/>
                <w:lang w:eastAsia="zh-CN"/>
              </w:rPr>
            </w:pPr>
            <w:r w:rsidRPr="00343387">
              <w:rPr>
                <w:b/>
                <w:sz w:val="16"/>
                <w:szCs w:val="16"/>
                <w:lang w:eastAsia="zh-CN"/>
              </w:rPr>
              <w:t>Rel.16 NR-U</w:t>
            </w:r>
          </w:p>
        </w:tc>
      </w:tr>
      <w:tr w:rsidR="00E40654" w:rsidRPr="00A964E7" w14:paraId="6C6CA755" w14:textId="77777777" w:rsidTr="00D67816">
        <w:trPr>
          <w:trHeight w:val="905"/>
          <w:jc w:val="center"/>
        </w:trPr>
        <w:tc>
          <w:tcPr>
            <w:tcW w:w="1451" w:type="dxa"/>
            <w:vMerge w:val="restart"/>
            <w:tcBorders>
              <w:top w:val="single" w:sz="4" w:space="0" w:color="auto"/>
              <w:left w:val="single" w:sz="4" w:space="0" w:color="auto"/>
              <w:right w:val="single" w:sz="4" w:space="0" w:color="auto"/>
            </w:tcBorders>
            <w:shd w:val="clear" w:color="auto" w:fill="C5E0B3" w:themeFill="accent6" w:themeFillTint="66"/>
            <w:vAlign w:val="center"/>
          </w:tcPr>
          <w:p w14:paraId="534E8776" w14:textId="77777777" w:rsidR="00E40654" w:rsidRPr="00EF3372" w:rsidRDefault="00E40654" w:rsidP="00F90795">
            <w:pPr>
              <w:spacing w:afterLines="50" w:after="120"/>
              <w:rPr>
                <w:sz w:val="16"/>
                <w:szCs w:val="16"/>
                <w:lang w:eastAsia="zh-CN"/>
              </w:rPr>
            </w:pPr>
            <w:r>
              <w:rPr>
                <w:sz w:val="16"/>
                <w:szCs w:val="16"/>
                <w:lang w:eastAsia="zh-CN"/>
              </w:rPr>
              <w:t>HARQ process ID</w:t>
            </w:r>
          </w:p>
        </w:tc>
        <w:tc>
          <w:tcPr>
            <w:tcW w:w="2547"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6AF8E3E" w14:textId="77777777" w:rsidR="00E40654" w:rsidRPr="00154E20" w:rsidRDefault="00E40654" w:rsidP="00F90795">
            <w:pPr>
              <w:spacing w:afterLines="50" w:after="120"/>
              <w:rPr>
                <w:sz w:val="16"/>
                <w:szCs w:val="16"/>
                <w:lang w:eastAsia="zh-CN"/>
              </w:rPr>
            </w:pPr>
            <w:r w:rsidRPr="00EF3372">
              <w:rPr>
                <w:sz w:val="16"/>
                <w:szCs w:val="16"/>
                <w:lang w:eastAsia="zh-CN"/>
              </w:rPr>
              <w:t xml:space="preserve">HARQ process </w:t>
            </w:r>
            <w:r w:rsidRPr="00940DAB">
              <w:rPr>
                <w:sz w:val="16"/>
                <w:szCs w:val="16"/>
                <w:lang w:eastAsia="zh-CN"/>
              </w:rPr>
              <w:t xml:space="preserve">ID </w:t>
            </w:r>
            <w:r w:rsidRPr="00154E20">
              <w:rPr>
                <w:sz w:val="16"/>
                <w:szCs w:val="16"/>
                <w:lang w:eastAsia="zh-CN"/>
              </w:rPr>
              <w:t>determination</w:t>
            </w:r>
          </w:p>
        </w:tc>
        <w:tc>
          <w:tcPr>
            <w:tcW w:w="3085"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3CAFF173" w14:textId="77777777" w:rsidR="00E40654" w:rsidRDefault="00E40654" w:rsidP="00F90795">
            <w:pPr>
              <w:spacing w:afterLines="50" w:after="120"/>
              <w:rPr>
                <w:sz w:val="16"/>
                <w:szCs w:val="16"/>
                <w:lang w:eastAsia="zh-CN"/>
              </w:rPr>
            </w:pPr>
            <w:r w:rsidRPr="00343387">
              <w:rPr>
                <w:sz w:val="16"/>
                <w:szCs w:val="16"/>
                <w:lang w:eastAsia="zh-CN"/>
              </w:rPr>
              <w:t>Associated with the configured/indicated first TO, calculated based on the equation defined in TS 38.321</w:t>
            </w:r>
          </w:p>
          <w:p w14:paraId="17F081DF" w14:textId="65A52058" w:rsidR="00D82318" w:rsidRPr="00343387" w:rsidRDefault="00D82318" w:rsidP="00F90795">
            <w:pPr>
              <w:spacing w:afterLines="50" w:after="120"/>
              <w:rPr>
                <w:sz w:val="16"/>
                <w:szCs w:val="16"/>
                <w:lang w:eastAsia="zh-CN"/>
              </w:rPr>
            </w:pPr>
            <w:r>
              <w:rPr>
                <w:sz w:val="16"/>
                <w:szCs w:val="16"/>
                <w:lang w:eastAsia="zh-CN"/>
              </w:rPr>
              <w:t xml:space="preserve">Configurable only in licensed </w:t>
            </w:r>
          </w:p>
        </w:tc>
        <w:tc>
          <w:tcPr>
            <w:tcW w:w="3138"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7C25F98" w14:textId="77777777" w:rsidR="00E40654" w:rsidRDefault="00E40654" w:rsidP="00F90795">
            <w:pPr>
              <w:spacing w:afterLines="50" w:after="120"/>
              <w:rPr>
                <w:sz w:val="16"/>
                <w:szCs w:val="16"/>
                <w:lang w:eastAsia="zh-CN"/>
              </w:rPr>
            </w:pPr>
            <w:r w:rsidRPr="00343387">
              <w:rPr>
                <w:sz w:val="16"/>
                <w:szCs w:val="16"/>
                <w:lang w:eastAsia="zh-CN"/>
              </w:rPr>
              <w:t>UE selects the HARQ ID from the pool</w:t>
            </w:r>
            <w:r>
              <w:rPr>
                <w:sz w:val="16"/>
                <w:szCs w:val="16"/>
                <w:lang w:eastAsia="zh-CN"/>
              </w:rPr>
              <w:t xml:space="preserve"> and indicate in CG-UCI</w:t>
            </w:r>
          </w:p>
          <w:p w14:paraId="00B2F4F9" w14:textId="1090E5B7" w:rsidR="00D82318" w:rsidRPr="00343387" w:rsidRDefault="00D82318" w:rsidP="00F90795">
            <w:pPr>
              <w:spacing w:afterLines="50" w:after="120"/>
              <w:rPr>
                <w:sz w:val="16"/>
                <w:szCs w:val="16"/>
                <w:lang w:eastAsia="zh-CN"/>
              </w:rPr>
            </w:pPr>
            <w:r>
              <w:rPr>
                <w:sz w:val="16"/>
                <w:szCs w:val="16"/>
                <w:lang w:eastAsia="zh-CN"/>
              </w:rPr>
              <w:t>Configurable only in unlicensed</w:t>
            </w:r>
          </w:p>
        </w:tc>
      </w:tr>
      <w:tr w:rsidR="00E40654" w:rsidRPr="00A964E7" w14:paraId="156F193E" w14:textId="77777777" w:rsidTr="00D67816">
        <w:trPr>
          <w:trHeight w:val="739"/>
          <w:jc w:val="center"/>
        </w:trPr>
        <w:tc>
          <w:tcPr>
            <w:tcW w:w="1451" w:type="dxa"/>
            <w:vMerge/>
            <w:tcBorders>
              <w:left w:val="single" w:sz="4" w:space="0" w:color="auto"/>
              <w:right w:val="single" w:sz="4" w:space="0" w:color="auto"/>
            </w:tcBorders>
            <w:shd w:val="clear" w:color="auto" w:fill="C5E0B3" w:themeFill="accent6" w:themeFillTint="66"/>
            <w:vAlign w:val="center"/>
          </w:tcPr>
          <w:p w14:paraId="1F5C4E89" w14:textId="77777777" w:rsidR="00E40654" w:rsidRPr="00EF3372" w:rsidRDefault="00E40654" w:rsidP="00F90795">
            <w:pPr>
              <w:spacing w:afterLines="50" w:after="120"/>
              <w:rPr>
                <w:sz w:val="16"/>
                <w:szCs w:val="16"/>
                <w:lang w:eastAsia="zh-CN"/>
              </w:rPr>
            </w:pPr>
          </w:p>
        </w:tc>
        <w:tc>
          <w:tcPr>
            <w:tcW w:w="2547"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333D96F1" w14:textId="77777777" w:rsidR="00E40654" w:rsidRPr="00343387" w:rsidRDefault="00E40654" w:rsidP="00F90795">
            <w:pPr>
              <w:spacing w:afterLines="50" w:after="120"/>
              <w:rPr>
                <w:sz w:val="16"/>
                <w:szCs w:val="16"/>
                <w:lang w:eastAsia="zh-CN"/>
              </w:rPr>
            </w:pPr>
            <w:r w:rsidRPr="00EF3372">
              <w:rPr>
                <w:sz w:val="16"/>
                <w:szCs w:val="16"/>
                <w:lang w:eastAsia="zh-CN"/>
              </w:rPr>
              <w:t>Management of HARQ process number/ID among multiple CG configurati</w:t>
            </w:r>
            <w:r w:rsidRPr="00343387">
              <w:rPr>
                <w:sz w:val="16"/>
                <w:szCs w:val="16"/>
                <w:lang w:eastAsia="zh-CN"/>
              </w:rPr>
              <w:t>ons</w:t>
            </w:r>
          </w:p>
        </w:tc>
        <w:tc>
          <w:tcPr>
            <w:tcW w:w="3085"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CD465BA" w14:textId="77777777" w:rsidR="00E40654" w:rsidRPr="00343387" w:rsidRDefault="00E40654" w:rsidP="00F90795">
            <w:pPr>
              <w:spacing w:afterLines="50" w:after="120"/>
              <w:rPr>
                <w:sz w:val="16"/>
                <w:szCs w:val="16"/>
                <w:lang w:eastAsia="zh-CN"/>
              </w:rPr>
            </w:pPr>
            <w:r w:rsidRPr="00343387">
              <w:rPr>
                <w:rFonts w:eastAsia="Malgun Gothic"/>
                <w:sz w:val="16"/>
                <w:szCs w:val="16"/>
                <w:lang w:eastAsia="ko-KR"/>
              </w:rPr>
              <w:t>Not shared between different CG configurations in the same BWP</w:t>
            </w:r>
          </w:p>
        </w:tc>
        <w:tc>
          <w:tcPr>
            <w:tcW w:w="3138"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4F8A07" w14:textId="77777777" w:rsidR="00E40654" w:rsidRPr="00343387" w:rsidRDefault="00E40654" w:rsidP="00F90795">
            <w:pPr>
              <w:spacing w:afterLines="50" w:after="120"/>
              <w:rPr>
                <w:sz w:val="16"/>
                <w:szCs w:val="16"/>
              </w:rPr>
            </w:pPr>
            <w:r w:rsidRPr="00343387">
              <w:rPr>
                <w:sz w:val="16"/>
                <w:szCs w:val="16"/>
                <w:lang w:eastAsia="zh-CN"/>
              </w:rPr>
              <w:t xml:space="preserve">Shared </w:t>
            </w:r>
            <w:r w:rsidRPr="00343387">
              <w:rPr>
                <w:rFonts w:eastAsia="Malgun Gothic"/>
                <w:sz w:val="16"/>
                <w:szCs w:val="16"/>
                <w:lang w:eastAsia="ko-KR"/>
              </w:rPr>
              <w:t>between different CG configurations in the same BWP</w:t>
            </w:r>
          </w:p>
        </w:tc>
      </w:tr>
      <w:tr w:rsidR="00E40654" w:rsidRPr="00A964E7" w14:paraId="75CB7DAD" w14:textId="77777777" w:rsidTr="00D67816">
        <w:trPr>
          <w:trHeight w:val="709"/>
          <w:jc w:val="center"/>
        </w:trPr>
        <w:tc>
          <w:tcPr>
            <w:tcW w:w="1451"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62282C2C" w14:textId="77777777" w:rsidR="00E40654" w:rsidRPr="00EF3372" w:rsidRDefault="00E40654" w:rsidP="00F90795">
            <w:pPr>
              <w:spacing w:afterLines="50" w:after="120"/>
              <w:rPr>
                <w:sz w:val="16"/>
                <w:szCs w:val="16"/>
                <w:lang w:eastAsia="zh-CN"/>
              </w:rPr>
            </w:pPr>
            <w:r w:rsidRPr="00EF3372">
              <w:rPr>
                <w:sz w:val="16"/>
                <w:szCs w:val="16"/>
                <w:lang w:eastAsia="zh-CN"/>
              </w:rPr>
              <w:t>RV determination</w:t>
            </w:r>
          </w:p>
        </w:tc>
        <w:tc>
          <w:tcPr>
            <w:tcW w:w="254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3A338D38" w14:textId="77777777" w:rsidR="00E40654" w:rsidRPr="00940DAB" w:rsidRDefault="00E40654" w:rsidP="00F90795">
            <w:pPr>
              <w:spacing w:afterLines="50" w:after="120"/>
              <w:rPr>
                <w:sz w:val="16"/>
                <w:szCs w:val="16"/>
                <w:lang w:eastAsia="zh-CN"/>
              </w:rPr>
            </w:pPr>
            <w:r w:rsidRPr="00EF3372">
              <w:rPr>
                <w:sz w:val="16"/>
                <w:szCs w:val="16"/>
                <w:lang w:eastAsia="zh-CN"/>
              </w:rPr>
              <w:t>RV determination</w:t>
            </w:r>
          </w:p>
        </w:tc>
        <w:tc>
          <w:tcPr>
            <w:tcW w:w="3085"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66BD7322" w14:textId="77777777" w:rsidR="00E40654" w:rsidRPr="00343387" w:rsidRDefault="00E40654" w:rsidP="00F90795">
            <w:pPr>
              <w:spacing w:afterLines="50" w:after="120"/>
              <w:rPr>
                <w:sz w:val="16"/>
                <w:szCs w:val="16"/>
                <w:lang w:eastAsia="zh-CN"/>
              </w:rPr>
            </w:pPr>
            <w:r w:rsidRPr="00343387">
              <w:rPr>
                <w:sz w:val="16"/>
                <w:szCs w:val="16"/>
                <w:lang w:eastAsia="zh-CN"/>
              </w:rPr>
              <w:t>One of the three RV sequence can be configured and associated with TO {0,0,0,0}; {0,3,0,3}; {0,2,3,1}</w:t>
            </w:r>
          </w:p>
        </w:tc>
        <w:tc>
          <w:tcPr>
            <w:tcW w:w="3138"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0CF6DEBC" w14:textId="5A782B44" w:rsidR="00E40654" w:rsidRPr="00F84822" w:rsidRDefault="00E40654" w:rsidP="00F90795">
            <w:pPr>
              <w:spacing w:afterLines="50" w:after="120"/>
              <w:rPr>
                <w:sz w:val="16"/>
                <w:szCs w:val="16"/>
              </w:rPr>
            </w:pPr>
            <w:r w:rsidRPr="00343387">
              <w:rPr>
                <w:sz w:val="16"/>
                <w:szCs w:val="16"/>
                <w:lang w:eastAsia="zh-CN"/>
              </w:rPr>
              <w:t>UE cho</w:t>
            </w:r>
            <w:r>
              <w:rPr>
                <w:sz w:val="16"/>
                <w:szCs w:val="16"/>
                <w:lang w:eastAsia="zh-CN"/>
              </w:rPr>
              <w:t>o</w:t>
            </w:r>
            <w:r w:rsidRPr="00C43549">
              <w:rPr>
                <w:sz w:val="16"/>
                <w:szCs w:val="16"/>
                <w:lang w:eastAsia="zh-CN"/>
              </w:rPr>
              <w:t>ses the RV sequence</w:t>
            </w:r>
            <w:r>
              <w:rPr>
                <w:sz w:val="16"/>
                <w:szCs w:val="16"/>
                <w:lang w:eastAsia="zh-CN"/>
              </w:rPr>
              <w:t xml:space="preserve"> and indicate in CG-UCI</w:t>
            </w:r>
          </w:p>
        </w:tc>
      </w:tr>
      <w:tr w:rsidR="00E40654" w:rsidRPr="00A964E7" w14:paraId="0F0C9BD3" w14:textId="77777777" w:rsidTr="00D67816">
        <w:trPr>
          <w:trHeight w:val="724"/>
          <w:jc w:val="center"/>
        </w:trPr>
        <w:tc>
          <w:tcPr>
            <w:tcW w:w="1451"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1AA15C92" w14:textId="77777777" w:rsidR="00E40654" w:rsidRPr="00EF3372" w:rsidRDefault="00E40654" w:rsidP="00F90795">
            <w:pPr>
              <w:spacing w:afterLines="50" w:after="120"/>
              <w:rPr>
                <w:sz w:val="16"/>
                <w:szCs w:val="16"/>
                <w:lang w:eastAsia="zh-CN"/>
              </w:rPr>
            </w:pPr>
            <w:r>
              <w:rPr>
                <w:sz w:val="16"/>
                <w:szCs w:val="16"/>
                <w:lang w:eastAsia="zh-CN"/>
              </w:rPr>
              <w:t>Flexible transmission</w:t>
            </w:r>
          </w:p>
        </w:tc>
        <w:tc>
          <w:tcPr>
            <w:tcW w:w="2547"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B69174B" w14:textId="77777777" w:rsidR="00E40654" w:rsidRPr="00EF3372" w:rsidRDefault="00E40654" w:rsidP="00F90795">
            <w:pPr>
              <w:spacing w:afterLines="50" w:after="120"/>
              <w:rPr>
                <w:sz w:val="16"/>
                <w:szCs w:val="16"/>
                <w:lang w:eastAsia="zh-CN"/>
              </w:rPr>
            </w:pPr>
            <w:r>
              <w:rPr>
                <w:sz w:val="16"/>
                <w:szCs w:val="16"/>
                <w:lang w:eastAsia="zh-CN"/>
              </w:rPr>
              <w:t>Flexible transmission</w:t>
            </w:r>
          </w:p>
        </w:tc>
        <w:tc>
          <w:tcPr>
            <w:tcW w:w="308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9AF724F" w14:textId="77777777" w:rsidR="00E40654" w:rsidRPr="00343387" w:rsidRDefault="00E40654" w:rsidP="00F90795">
            <w:pPr>
              <w:spacing w:afterLines="50" w:after="120"/>
              <w:rPr>
                <w:sz w:val="16"/>
                <w:szCs w:val="16"/>
                <w:lang w:eastAsia="zh-CN"/>
              </w:rPr>
            </w:pPr>
            <w:r w:rsidRPr="00EE7587">
              <w:rPr>
                <w:sz w:val="16"/>
                <w:szCs w:val="16"/>
                <w:lang w:eastAsia="zh-CN"/>
              </w:rPr>
              <w:t>Either at</w:t>
            </w:r>
            <w:r w:rsidRPr="00C43549">
              <w:rPr>
                <w:sz w:val="16"/>
                <w:szCs w:val="16"/>
                <w:lang w:eastAsia="zh-CN"/>
              </w:rPr>
              <w:t xml:space="preserve"> first TO or </w:t>
            </w:r>
            <w:r w:rsidRPr="00F84822">
              <w:rPr>
                <w:sz w:val="16"/>
                <w:szCs w:val="16"/>
                <w:lang w:eastAsia="zh-CN"/>
              </w:rPr>
              <w:t xml:space="preserve">any TO assigned with RV 0 if parameter </w:t>
            </w:r>
            <w:r w:rsidRPr="00F84822">
              <w:rPr>
                <w:i/>
                <w:color w:val="000000"/>
                <w:sz w:val="16"/>
                <w:szCs w:val="16"/>
              </w:rPr>
              <w:t>startingFromRV0</w:t>
            </w:r>
            <w:r w:rsidRPr="00F84822">
              <w:rPr>
                <w:i/>
                <w:iCs/>
                <w:sz w:val="16"/>
                <w:szCs w:val="16"/>
              </w:rPr>
              <w:t>-r16</w:t>
            </w:r>
            <w:r w:rsidRPr="00EF3372">
              <w:rPr>
                <w:sz w:val="16"/>
                <w:szCs w:val="16"/>
                <w:lang w:eastAsia="zh-CN"/>
              </w:rPr>
              <w:t xml:space="preserve"> set</w:t>
            </w:r>
            <w:r w:rsidRPr="00940DAB">
              <w:rPr>
                <w:sz w:val="16"/>
                <w:szCs w:val="16"/>
                <w:lang w:eastAsia="zh-CN"/>
              </w:rPr>
              <w:t>s</w:t>
            </w:r>
            <w:r w:rsidRPr="00154E20">
              <w:rPr>
                <w:sz w:val="16"/>
                <w:szCs w:val="16"/>
                <w:lang w:eastAsia="zh-CN"/>
              </w:rPr>
              <w:t xml:space="preserve"> on or off</w:t>
            </w:r>
          </w:p>
        </w:tc>
        <w:tc>
          <w:tcPr>
            <w:tcW w:w="3138"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AC12746" w14:textId="77777777" w:rsidR="00E40654" w:rsidRPr="00343387" w:rsidRDefault="00E40654" w:rsidP="00F90795">
            <w:pPr>
              <w:spacing w:afterLines="50" w:after="120"/>
              <w:rPr>
                <w:sz w:val="16"/>
                <w:szCs w:val="16"/>
                <w:lang w:eastAsia="zh-CN"/>
              </w:rPr>
            </w:pPr>
            <w:r w:rsidRPr="00343387">
              <w:rPr>
                <w:sz w:val="16"/>
                <w:szCs w:val="16"/>
                <w:lang w:eastAsia="zh-CN"/>
              </w:rPr>
              <w:t>At any TO</w:t>
            </w:r>
          </w:p>
        </w:tc>
      </w:tr>
      <w:tr w:rsidR="00E40654" w:rsidRPr="00A964E7" w14:paraId="58452DC3" w14:textId="77777777" w:rsidTr="00D67816">
        <w:trPr>
          <w:trHeight w:val="513"/>
          <w:jc w:val="center"/>
        </w:trPr>
        <w:tc>
          <w:tcPr>
            <w:tcW w:w="1451"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71C296A3" w14:textId="77777777" w:rsidR="00E40654" w:rsidRPr="00EF3372" w:rsidRDefault="00E40654" w:rsidP="00F90795">
            <w:pPr>
              <w:spacing w:afterLines="50" w:after="120"/>
              <w:rPr>
                <w:sz w:val="16"/>
                <w:szCs w:val="16"/>
                <w:lang w:eastAsia="zh-CN"/>
              </w:rPr>
            </w:pPr>
            <w:r w:rsidRPr="00A964E7">
              <w:rPr>
                <w:sz w:val="16"/>
                <w:szCs w:val="16"/>
                <w:lang w:eastAsia="zh-CN"/>
              </w:rPr>
              <w:t>Repetition scheme(s)</w:t>
            </w:r>
          </w:p>
        </w:tc>
        <w:tc>
          <w:tcPr>
            <w:tcW w:w="2547"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5119D2C4" w14:textId="77777777" w:rsidR="00E40654" w:rsidRPr="00EF3372" w:rsidRDefault="00E40654" w:rsidP="00F90795">
            <w:pPr>
              <w:spacing w:afterLines="50" w:after="120"/>
              <w:rPr>
                <w:sz w:val="16"/>
                <w:szCs w:val="16"/>
                <w:lang w:eastAsia="zh-CN"/>
              </w:rPr>
            </w:pPr>
            <w:r w:rsidRPr="00A964E7">
              <w:rPr>
                <w:sz w:val="16"/>
                <w:szCs w:val="16"/>
                <w:lang w:eastAsia="zh-CN"/>
              </w:rPr>
              <w:t>Repetition scheme(s)</w:t>
            </w:r>
          </w:p>
        </w:tc>
        <w:tc>
          <w:tcPr>
            <w:tcW w:w="3085"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66B7843D" w14:textId="77777777" w:rsidR="00E40654" w:rsidRPr="00343387" w:rsidRDefault="00E40654" w:rsidP="00F90795">
            <w:pPr>
              <w:spacing w:afterLines="50" w:after="120"/>
              <w:rPr>
                <w:sz w:val="16"/>
                <w:szCs w:val="16"/>
                <w:lang w:eastAsia="zh-CN"/>
              </w:rPr>
            </w:pPr>
            <w:r w:rsidRPr="00A964E7">
              <w:rPr>
                <w:sz w:val="16"/>
                <w:szCs w:val="16"/>
                <w:lang w:eastAsia="zh-CN"/>
              </w:rPr>
              <w:t>PUSCH repetition Type A and PUSCH repetition Type B</w:t>
            </w:r>
          </w:p>
        </w:tc>
        <w:tc>
          <w:tcPr>
            <w:tcW w:w="3138"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29590C9A" w14:textId="77777777" w:rsidR="00E40654" w:rsidRPr="00343387" w:rsidRDefault="00E40654" w:rsidP="00F90795">
            <w:pPr>
              <w:spacing w:afterLines="50" w:after="120"/>
              <w:rPr>
                <w:sz w:val="16"/>
                <w:szCs w:val="16"/>
                <w:lang w:eastAsia="zh-CN"/>
              </w:rPr>
            </w:pPr>
            <w:r w:rsidRPr="00A964E7">
              <w:rPr>
                <w:sz w:val="16"/>
                <w:szCs w:val="16"/>
                <w:lang w:eastAsia="zh-CN"/>
              </w:rPr>
              <w:t>Similar as PUSCH repetition Type B without supporting segmentation. (no support of cross-slot resource allocation, and if collide with invalid symbol(s), drop the repetition)</w:t>
            </w:r>
          </w:p>
        </w:tc>
      </w:tr>
      <w:tr w:rsidR="00E40654" w:rsidRPr="00A964E7" w14:paraId="4AF3234F" w14:textId="77777777" w:rsidTr="00D67816">
        <w:trPr>
          <w:trHeight w:val="317"/>
          <w:jc w:val="center"/>
        </w:trPr>
        <w:tc>
          <w:tcPr>
            <w:tcW w:w="1451" w:type="dxa"/>
            <w:vMerge w:val="restart"/>
            <w:tcBorders>
              <w:top w:val="single" w:sz="4" w:space="0" w:color="auto"/>
              <w:left w:val="single" w:sz="4" w:space="0" w:color="auto"/>
              <w:right w:val="single" w:sz="4" w:space="0" w:color="auto"/>
            </w:tcBorders>
            <w:shd w:val="clear" w:color="auto" w:fill="FFCCFF"/>
            <w:vAlign w:val="center"/>
          </w:tcPr>
          <w:p w14:paraId="70F9660E" w14:textId="77777777" w:rsidR="00E40654" w:rsidRPr="00EF3372" w:rsidRDefault="00E40654" w:rsidP="00F90795">
            <w:pPr>
              <w:spacing w:afterLines="50" w:after="120"/>
              <w:rPr>
                <w:sz w:val="16"/>
                <w:szCs w:val="16"/>
                <w:lang w:eastAsia="zh-CN"/>
              </w:rPr>
            </w:pPr>
            <w:r>
              <w:rPr>
                <w:sz w:val="16"/>
                <w:szCs w:val="16"/>
                <w:lang w:eastAsia="zh-CN"/>
              </w:rPr>
              <w:t>Autonomous re-transmission</w:t>
            </w:r>
          </w:p>
          <w:p w14:paraId="2ACD2D95" w14:textId="77777777" w:rsidR="00E40654" w:rsidRPr="00EF3372" w:rsidRDefault="00E40654" w:rsidP="00F90795">
            <w:pPr>
              <w:spacing w:afterLines="50" w:after="120"/>
              <w:rPr>
                <w:sz w:val="16"/>
                <w:szCs w:val="16"/>
                <w:lang w:eastAsia="zh-CN"/>
              </w:rPr>
            </w:pPr>
            <w:r>
              <w:rPr>
                <w:sz w:val="16"/>
                <w:szCs w:val="16"/>
                <w:lang w:eastAsia="zh-CN"/>
              </w:rPr>
              <w:t>CG-DFI</w:t>
            </w:r>
          </w:p>
        </w:tc>
        <w:tc>
          <w:tcPr>
            <w:tcW w:w="2547" w:type="dxa"/>
            <w:tcBorders>
              <w:top w:val="single" w:sz="4" w:space="0" w:color="auto"/>
              <w:left w:val="single" w:sz="4" w:space="0" w:color="auto"/>
              <w:bottom w:val="single" w:sz="4" w:space="0" w:color="auto"/>
              <w:right w:val="single" w:sz="4" w:space="0" w:color="auto"/>
            </w:tcBorders>
            <w:shd w:val="clear" w:color="auto" w:fill="FFCCFF"/>
          </w:tcPr>
          <w:p w14:paraId="1C5A88C5" w14:textId="77777777" w:rsidR="00E40654" w:rsidRPr="00940DAB" w:rsidRDefault="00E40654" w:rsidP="00F90795">
            <w:pPr>
              <w:spacing w:afterLines="50" w:after="120"/>
              <w:rPr>
                <w:sz w:val="16"/>
                <w:szCs w:val="16"/>
                <w:lang w:eastAsia="zh-CN"/>
              </w:rPr>
            </w:pPr>
            <w:r w:rsidRPr="00EF3372">
              <w:rPr>
                <w:sz w:val="16"/>
                <w:szCs w:val="16"/>
                <w:lang w:eastAsia="zh-CN"/>
              </w:rPr>
              <w:t>CG Re-transmission timer</w:t>
            </w:r>
          </w:p>
        </w:tc>
        <w:tc>
          <w:tcPr>
            <w:tcW w:w="3085" w:type="dxa"/>
            <w:tcBorders>
              <w:top w:val="single" w:sz="4" w:space="0" w:color="auto"/>
              <w:left w:val="single" w:sz="4" w:space="0" w:color="auto"/>
              <w:bottom w:val="single" w:sz="4" w:space="0" w:color="auto"/>
              <w:right w:val="single" w:sz="4" w:space="0" w:color="auto"/>
            </w:tcBorders>
            <w:shd w:val="clear" w:color="auto" w:fill="FFCCFF"/>
          </w:tcPr>
          <w:p w14:paraId="583DA6A9" w14:textId="77777777" w:rsidR="00E40654" w:rsidRPr="00DC30EC" w:rsidRDefault="00E40654" w:rsidP="00F90795">
            <w:pPr>
              <w:spacing w:afterLines="50" w:after="120"/>
              <w:rPr>
                <w:sz w:val="16"/>
                <w:szCs w:val="16"/>
                <w:lang w:eastAsia="zh-CN"/>
              </w:rPr>
            </w:pPr>
            <w:r w:rsidRPr="00CA4517">
              <w:rPr>
                <w:sz w:val="16"/>
                <w:szCs w:val="16"/>
                <w:lang w:eastAsia="zh-CN"/>
              </w:rPr>
              <w:t>No support</w:t>
            </w:r>
          </w:p>
        </w:tc>
        <w:tc>
          <w:tcPr>
            <w:tcW w:w="3138" w:type="dxa"/>
            <w:tcBorders>
              <w:top w:val="single" w:sz="4" w:space="0" w:color="auto"/>
              <w:left w:val="single" w:sz="4" w:space="0" w:color="auto"/>
              <w:bottom w:val="single" w:sz="4" w:space="0" w:color="auto"/>
              <w:right w:val="single" w:sz="4" w:space="0" w:color="auto"/>
            </w:tcBorders>
            <w:shd w:val="clear" w:color="auto" w:fill="FFCCFF"/>
          </w:tcPr>
          <w:p w14:paraId="502F8AF8" w14:textId="77777777" w:rsidR="00E40654" w:rsidRPr="00DC30EC" w:rsidRDefault="00E40654" w:rsidP="00F90795">
            <w:pPr>
              <w:spacing w:afterLines="50" w:after="120"/>
              <w:rPr>
                <w:sz w:val="16"/>
                <w:szCs w:val="16"/>
                <w:lang w:eastAsia="zh-CN"/>
              </w:rPr>
            </w:pPr>
            <w:r>
              <w:rPr>
                <w:sz w:val="16"/>
                <w:szCs w:val="16"/>
                <w:lang w:eastAsia="zh-CN"/>
              </w:rPr>
              <w:t>A</w:t>
            </w:r>
            <w:r w:rsidRPr="00CA4517">
              <w:rPr>
                <w:sz w:val="16"/>
                <w:szCs w:val="16"/>
                <w:lang w:eastAsia="zh-CN"/>
              </w:rPr>
              <w:t>lways configured</w:t>
            </w:r>
          </w:p>
        </w:tc>
      </w:tr>
      <w:tr w:rsidR="00E40654" w:rsidRPr="00A964E7" w14:paraId="3E554553" w14:textId="77777777" w:rsidTr="00D67816">
        <w:trPr>
          <w:trHeight w:val="528"/>
          <w:jc w:val="center"/>
        </w:trPr>
        <w:tc>
          <w:tcPr>
            <w:tcW w:w="1451" w:type="dxa"/>
            <w:vMerge/>
            <w:tcBorders>
              <w:left w:val="single" w:sz="4" w:space="0" w:color="auto"/>
              <w:right w:val="single" w:sz="4" w:space="0" w:color="auto"/>
            </w:tcBorders>
            <w:shd w:val="clear" w:color="auto" w:fill="FFCCFF"/>
            <w:vAlign w:val="center"/>
          </w:tcPr>
          <w:p w14:paraId="6C9E7805" w14:textId="77777777" w:rsidR="00E40654" w:rsidRPr="00EF3372" w:rsidRDefault="00E40654" w:rsidP="00F90795">
            <w:pPr>
              <w:spacing w:afterLines="50" w:after="120"/>
              <w:rPr>
                <w:sz w:val="16"/>
                <w:szCs w:val="16"/>
                <w:lang w:eastAsia="zh-CN"/>
              </w:rPr>
            </w:pPr>
          </w:p>
        </w:tc>
        <w:tc>
          <w:tcPr>
            <w:tcW w:w="2547" w:type="dxa"/>
            <w:tcBorders>
              <w:top w:val="single" w:sz="4" w:space="0" w:color="auto"/>
              <w:left w:val="single" w:sz="4" w:space="0" w:color="auto"/>
              <w:bottom w:val="single" w:sz="4" w:space="0" w:color="auto"/>
              <w:right w:val="single" w:sz="4" w:space="0" w:color="auto"/>
            </w:tcBorders>
            <w:shd w:val="clear" w:color="auto" w:fill="FFCCFF"/>
          </w:tcPr>
          <w:p w14:paraId="166F4E5B" w14:textId="77777777" w:rsidR="00E40654" w:rsidRPr="00EF3372" w:rsidRDefault="00E40654" w:rsidP="00F90795">
            <w:pPr>
              <w:spacing w:afterLines="50" w:after="120"/>
              <w:rPr>
                <w:sz w:val="16"/>
                <w:szCs w:val="16"/>
                <w:lang w:eastAsia="zh-CN"/>
              </w:rPr>
            </w:pPr>
            <w:r w:rsidRPr="00EF3372">
              <w:rPr>
                <w:sz w:val="16"/>
                <w:szCs w:val="16"/>
                <w:lang w:eastAsia="zh-CN"/>
              </w:rPr>
              <w:t xml:space="preserve">Re-transmission </w:t>
            </w:r>
            <w:r>
              <w:rPr>
                <w:sz w:val="16"/>
                <w:szCs w:val="16"/>
                <w:lang w:eastAsia="zh-CN"/>
              </w:rPr>
              <w:t>on CG</w:t>
            </w:r>
          </w:p>
        </w:tc>
        <w:tc>
          <w:tcPr>
            <w:tcW w:w="3085" w:type="dxa"/>
            <w:tcBorders>
              <w:top w:val="single" w:sz="4" w:space="0" w:color="auto"/>
              <w:left w:val="single" w:sz="4" w:space="0" w:color="auto"/>
              <w:bottom w:val="single" w:sz="4" w:space="0" w:color="auto"/>
              <w:right w:val="single" w:sz="4" w:space="0" w:color="auto"/>
            </w:tcBorders>
            <w:shd w:val="clear" w:color="auto" w:fill="FFCCFF"/>
          </w:tcPr>
          <w:p w14:paraId="471DBA52" w14:textId="77777777" w:rsidR="00E40654" w:rsidRPr="00CA4517" w:rsidRDefault="00E40654" w:rsidP="00F90795">
            <w:pPr>
              <w:spacing w:afterLines="50" w:after="120"/>
              <w:rPr>
                <w:sz w:val="16"/>
                <w:szCs w:val="16"/>
                <w:lang w:eastAsia="zh-CN"/>
              </w:rPr>
            </w:pPr>
            <w:r>
              <w:rPr>
                <w:sz w:val="16"/>
                <w:szCs w:val="16"/>
                <w:lang w:eastAsia="zh-CN"/>
              </w:rPr>
              <w:t>No support</w:t>
            </w:r>
          </w:p>
        </w:tc>
        <w:tc>
          <w:tcPr>
            <w:tcW w:w="3138" w:type="dxa"/>
            <w:tcBorders>
              <w:top w:val="single" w:sz="4" w:space="0" w:color="auto"/>
              <w:left w:val="single" w:sz="4" w:space="0" w:color="auto"/>
              <w:bottom w:val="single" w:sz="4" w:space="0" w:color="auto"/>
              <w:right w:val="single" w:sz="4" w:space="0" w:color="auto"/>
            </w:tcBorders>
            <w:shd w:val="clear" w:color="auto" w:fill="FFCCFF"/>
          </w:tcPr>
          <w:p w14:paraId="4336788C" w14:textId="77777777" w:rsidR="00E40654" w:rsidRDefault="00E40654" w:rsidP="00F90795">
            <w:pPr>
              <w:spacing w:afterLines="50" w:after="120"/>
              <w:rPr>
                <w:sz w:val="16"/>
                <w:szCs w:val="16"/>
                <w:lang w:eastAsia="zh-CN"/>
              </w:rPr>
            </w:pPr>
            <w:r w:rsidRPr="007D7EFC">
              <w:rPr>
                <w:sz w:val="16"/>
                <w:szCs w:val="16"/>
                <w:lang w:eastAsia="zh-CN"/>
              </w:rPr>
              <w:t>Support automatic re-</w:t>
            </w:r>
            <w:r>
              <w:rPr>
                <w:sz w:val="16"/>
                <w:szCs w:val="16"/>
                <w:lang w:eastAsia="zh-CN"/>
              </w:rPr>
              <w:t>t</w:t>
            </w:r>
            <w:r w:rsidRPr="007D7EFC">
              <w:rPr>
                <w:sz w:val="16"/>
                <w:szCs w:val="16"/>
                <w:lang w:eastAsia="zh-CN"/>
              </w:rPr>
              <w:t xml:space="preserve">ransmission on the same or different CG configuration </w:t>
            </w:r>
            <w:r>
              <w:rPr>
                <w:sz w:val="16"/>
                <w:szCs w:val="16"/>
                <w:lang w:eastAsia="zh-CN"/>
              </w:rPr>
              <w:t xml:space="preserve">after </w:t>
            </w:r>
            <w:r w:rsidRPr="00596293">
              <w:rPr>
                <w:i/>
                <w:iCs/>
                <w:sz w:val="16"/>
                <w:szCs w:val="16"/>
                <w:lang w:eastAsia="zh-CN"/>
              </w:rPr>
              <w:t>cg-RetransmissionTimer</w:t>
            </w:r>
            <w:r w:rsidRPr="00596293">
              <w:rPr>
                <w:sz w:val="16"/>
                <w:szCs w:val="16"/>
                <w:lang w:eastAsia="zh-CN"/>
              </w:rPr>
              <w:t xml:space="preserve"> expires</w:t>
            </w:r>
          </w:p>
          <w:p w14:paraId="5A81BDA5" w14:textId="195B0F72" w:rsidR="00D82318" w:rsidRDefault="00D82318" w:rsidP="00F90795">
            <w:pPr>
              <w:spacing w:afterLines="50" w:after="120"/>
              <w:rPr>
                <w:sz w:val="16"/>
                <w:szCs w:val="16"/>
                <w:lang w:eastAsia="zh-CN"/>
              </w:rPr>
            </w:pPr>
            <w:r>
              <w:rPr>
                <w:sz w:val="16"/>
                <w:szCs w:val="16"/>
                <w:lang w:eastAsia="zh-CN"/>
              </w:rPr>
              <w:t>CG-UCI included in PUSCH</w:t>
            </w:r>
          </w:p>
        </w:tc>
      </w:tr>
      <w:tr w:rsidR="00E40654" w:rsidRPr="00A964E7" w14:paraId="0061E580" w14:textId="77777777" w:rsidTr="00D67816">
        <w:trPr>
          <w:trHeight w:val="317"/>
          <w:jc w:val="center"/>
        </w:trPr>
        <w:tc>
          <w:tcPr>
            <w:tcW w:w="1451" w:type="dxa"/>
            <w:vMerge/>
            <w:tcBorders>
              <w:left w:val="single" w:sz="4" w:space="0" w:color="auto"/>
              <w:bottom w:val="single" w:sz="4" w:space="0" w:color="auto"/>
              <w:right w:val="single" w:sz="4" w:space="0" w:color="auto"/>
            </w:tcBorders>
            <w:shd w:val="clear" w:color="auto" w:fill="FFCCFF"/>
            <w:vAlign w:val="center"/>
          </w:tcPr>
          <w:p w14:paraId="68514795" w14:textId="77777777" w:rsidR="00E40654" w:rsidRPr="00EF3372" w:rsidRDefault="00E40654" w:rsidP="00F90795">
            <w:pPr>
              <w:spacing w:afterLines="50" w:after="120"/>
              <w:rPr>
                <w:sz w:val="16"/>
                <w:szCs w:val="16"/>
                <w:lang w:eastAsia="zh-CN"/>
              </w:rPr>
            </w:pPr>
          </w:p>
        </w:tc>
        <w:tc>
          <w:tcPr>
            <w:tcW w:w="2547" w:type="dxa"/>
            <w:tcBorders>
              <w:top w:val="single" w:sz="4" w:space="0" w:color="auto"/>
              <w:left w:val="single" w:sz="4" w:space="0" w:color="auto"/>
              <w:bottom w:val="single" w:sz="4" w:space="0" w:color="auto"/>
              <w:right w:val="single" w:sz="4" w:space="0" w:color="auto"/>
            </w:tcBorders>
            <w:shd w:val="clear" w:color="auto" w:fill="FFCCFF"/>
          </w:tcPr>
          <w:p w14:paraId="11341572" w14:textId="77777777" w:rsidR="00E40654" w:rsidRPr="00940DAB" w:rsidRDefault="00E40654" w:rsidP="00F90795">
            <w:pPr>
              <w:spacing w:afterLines="50" w:after="120"/>
              <w:rPr>
                <w:sz w:val="16"/>
                <w:szCs w:val="16"/>
                <w:lang w:eastAsia="zh-CN"/>
              </w:rPr>
            </w:pPr>
            <w:r>
              <w:rPr>
                <w:sz w:val="16"/>
                <w:szCs w:val="16"/>
                <w:lang w:eastAsia="zh-CN"/>
              </w:rPr>
              <w:t>CG-</w:t>
            </w:r>
            <w:r w:rsidRPr="00940DAB">
              <w:rPr>
                <w:sz w:val="16"/>
                <w:szCs w:val="16"/>
                <w:lang w:eastAsia="zh-CN"/>
              </w:rPr>
              <w:t>DFI</w:t>
            </w:r>
            <w:r w:rsidRPr="00EF3372">
              <w:rPr>
                <w:sz w:val="16"/>
                <w:szCs w:val="16"/>
                <w:lang w:eastAsia="zh-CN"/>
              </w:rPr>
              <w:t xml:space="preserve"> </w:t>
            </w:r>
            <w:r>
              <w:rPr>
                <w:sz w:val="16"/>
                <w:szCs w:val="16"/>
                <w:lang w:eastAsia="zh-CN"/>
              </w:rPr>
              <w:t>(</w:t>
            </w:r>
            <w:r w:rsidRPr="00EF3372">
              <w:rPr>
                <w:sz w:val="16"/>
                <w:szCs w:val="16"/>
                <w:lang w:eastAsia="zh-CN"/>
              </w:rPr>
              <w:t>CG-Downl</w:t>
            </w:r>
            <w:r w:rsidRPr="00940DAB">
              <w:rPr>
                <w:sz w:val="16"/>
                <w:szCs w:val="16"/>
                <w:lang w:eastAsia="zh-CN"/>
              </w:rPr>
              <w:t>ink feedback information)</w:t>
            </w:r>
          </w:p>
        </w:tc>
        <w:tc>
          <w:tcPr>
            <w:tcW w:w="3085" w:type="dxa"/>
            <w:tcBorders>
              <w:top w:val="single" w:sz="4" w:space="0" w:color="auto"/>
              <w:left w:val="single" w:sz="4" w:space="0" w:color="auto"/>
              <w:bottom w:val="single" w:sz="4" w:space="0" w:color="auto"/>
              <w:right w:val="single" w:sz="4" w:space="0" w:color="auto"/>
            </w:tcBorders>
            <w:shd w:val="clear" w:color="auto" w:fill="FFCCFF"/>
          </w:tcPr>
          <w:p w14:paraId="162762A0" w14:textId="77777777" w:rsidR="00E40654" w:rsidRPr="00343387" w:rsidRDefault="00E40654" w:rsidP="00F90795">
            <w:pPr>
              <w:spacing w:afterLines="50" w:after="120"/>
              <w:rPr>
                <w:sz w:val="16"/>
                <w:szCs w:val="16"/>
                <w:lang w:eastAsia="zh-CN"/>
              </w:rPr>
            </w:pPr>
            <w:r w:rsidRPr="00E424EF">
              <w:rPr>
                <w:sz w:val="16"/>
                <w:szCs w:val="16"/>
                <w:lang w:eastAsia="zh-CN"/>
              </w:rPr>
              <w:t>No support</w:t>
            </w:r>
            <w:r>
              <w:rPr>
                <w:sz w:val="16"/>
                <w:szCs w:val="16"/>
                <w:lang w:eastAsia="zh-CN"/>
              </w:rPr>
              <w:t>, if re</w:t>
            </w:r>
            <w:r w:rsidRPr="00E424EF">
              <w:rPr>
                <w:sz w:val="16"/>
                <w:szCs w:val="16"/>
                <w:lang w:eastAsia="zh-CN"/>
              </w:rPr>
              <w:t>-scheduling UL grant is not received, UE assumes ACK.</w:t>
            </w:r>
          </w:p>
        </w:tc>
        <w:tc>
          <w:tcPr>
            <w:tcW w:w="3138" w:type="dxa"/>
            <w:tcBorders>
              <w:top w:val="single" w:sz="4" w:space="0" w:color="auto"/>
              <w:left w:val="single" w:sz="4" w:space="0" w:color="auto"/>
              <w:bottom w:val="single" w:sz="4" w:space="0" w:color="auto"/>
              <w:right w:val="single" w:sz="4" w:space="0" w:color="auto"/>
            </w:tcBorders>
            <w:shd w:val="clear" w:color="auto" w:fill="FFCCFF"/>
          </w:tcPr>
          <w:p w14:paraId="7FFF4E0A" w14:textId="77777777" w:rsidR="00E40654" w:rsidRPr="00343387" w:rsidRDefault="00E40654" w:rsidP="00F90795">
            <w:pPr>
              <w:spacing w:afterLines="50" w:after="120"/>
              <w:rPr>
                <w:sz w:val="16"/>
                <w:szCs w:val="16"/>
                <w:lang w:eastAsia="zh-CN"/>
              </w:rPr>
            </w:pPr>
            <w:r w:rsidRPr="00343387">
              <w:rPr>
                <w:sz w:val="16"/>
                <w:szCs w:val="16"/>
              </w:rPr>
              <w:t xml:space="preserve">Support, </w:t>
            </w:r>
            <w:r>
              <w:rPr>
                <w:sz w:val="16"/>
                <w:szCs w:val="16"/>
              </w:rPr>
              <w:t>i</w:t>
            </w:r>
            <w:r w:rsidRPr="00D81FE8">
              <w:rPr>
                <w:sz w:val="16"/>
                <w:szCs w:val="16"/>
              </w:rPr>
              <w:t>f CG-DFI is not received, UE assumes NACK.</w:t>
            </w:r>
          </w:p>
        </w:tc>
      </w:tr>
    </w:tbl>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8F1C9D4" w14:textId="77777777" w:rsidR="00C8021E" w:rsidRDefault="006F6582">
      <w:pPr>
        <w:pStyle w:val="TableofFigures"/>
        <w:tabs>
          <w:tab w:val="right" w:leader="dot" w:pos="9629"/>
        </w:tabs>
        <w:rPr>
          <w:rFonts w:asciiTheme="minorHAnsi" w:eastAsiaTheme="minorEastAsia" w:hAnsiTheme="minorHAnsi"/>
          <w:b w:val="0"/>
          <w:noProof/>
          <w:sz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4411789" w:history="1">
        <w:r w:rsidR="00C8021E" w:rsidRPr="000930A1">
          <w:rPr>
            <w:rStyle w:val="Hyperlink"/>
            <w:iCs/>
            <w:noProof/>
          </w:rPr>
          <w:t>Observation 1</w:t>
        </w:r>
        <w:r w:rsidR="00C8021E">
          <w:rPr>
            <w:rFonts w:asciiTheme="minorHAnsi" w:eastAsiaTheme="minorEastAsia" w:hAnsiTheme="minorHAnsi"/>
            <w:b w:val="0"/>
            <w:noProof/>
            <w:sz w:val="22"/>
            <w:lang w:val="sv-SE" w:eastAsia="sv-SE"/>
          </w:rPr>
          <w:tab/>
        </w:r>
        <w:r w:rsidR="00C8021E" w:rsidRPr="000930A1">
          <w:rPr>
            <w:rStyle w:val="Hyperlink"/>
            <w:noProof/>
          </w:rPr>
          <w:t>Any restriction on UE-initiated COT design should be strongly justified to avoid compromising NR operation in unlicensed bands</w:t>
        </w:r>
      </w:hyperlink>
    </w:p>
    <w:p w14:paraId="4ED89ED5" w14:textId="77777777" w:rsidR="00C8021E" w:rsidRDefault="000E4064">
      <w:pPr>
        <w:pStyle w:val="TableofFigures"/>
        <w:tabs>
          <w:tab w:val="right" w:leader="dot" w:pos="9629"/>
        </w:tabs>
        <w:rPr>
          <w:rFonts w:asciiTheme="minorHAnsi" w:eastAsiaTheme="minorEastAsia" w:hAnsiTheme="minorHAnsi"/>
          <w:b w:val="0"/>
          <w:noProof/>
          <w:sz w:val="22"/>
          <w:lang w:val="sv-SE" w:eastAsia="sv-SE"/>
        </w:rPr>
      </w:pPr>
      <w:hyperlink w:anchor="_Toc54411790" w:history="1">
        <w:r w:rsidR="00C8021E" w:rsidRPr="000930A1">
          <w:rPr>
            <w:rStyle w:val="Hyperlink"/>
            <w:iCs/>
            <w:noProof/>
            <w:spacing w:val="2"/>
            <w:lang w:eastAsia="en-US"/>
          </w:rPr>
          <w:t>Observation 2</w:t>
        </w:r>
        <w:r w:rsidR="00C8021E">
          <w:rPr>
            <w:rFonts w:asciiTheme="minorHAnsi" w:eastAsiaTheme="minorEastAsia" w:hAnsiTheme="minorHAnsi"/>
            <w:b w:val="0"/>
            <w:noProof/>
            <w:sz w:val="22"/>
            <w:lang w:val="sv-SE" w:eastAsia="sv-SE"/>
          </w:rPr>
          <w:tab/>
        </w:r>
        <w:r w:rsidR="00C8021E" w:rsidRPr="000930A1">
          <w:rPr>
            <w:rStyle w:val="Hyperlink"/>
            <w:noProof/>
            <w:spacing w:val="2"/>
            <w:lang w:eastAsia="en-US"/>
          </w:rPr>
          <w:t>Many different NR-U CG features are coupled with same higher layer parameter (e.g. cg-RetransmissionTimer).</w:t>
        </w:r>
      </w:hyperlink>
    </w:p>
    <w:p w14:paraId="675242E5" w14:textId="77777777" w:rsidR="00C8021E" w:rsidRDefault="000E4064">
      <w:pPr>
        <w:pStyle w:val="TableofFigures"/>
        <w:tabs>
          <w:tab w:val="right" w:leader="dot" w:pos="9629"/>
        </w:tabs>
        <w:rPr>
          <w:rFonts w:asciiTheme="minorHAnsi" w:eastAsiaTheme="minorEastAsia" w:hAnsiTheme="minorHAnsi"/>
          <w:b w:val="0"/>
          <w:noProof/>
          <w:sz w:val="22"/>
          <w:lang w:val="sv-SE" w:eastAsia="sv-SE"/>
        </w:rPr>
      </w:pPr>
      <w:hyperlink w:anchor="_Toc54411791" w:history="1">
        <w:r w:rsidR="00C8021E" w:rsidRPr="000930A1">
          <w:rPr>
            <w:rStyle w:val="Hyperlink"/>
            <w:iCs/>
            <w:noProof/>
            <w:spacing w:val="2"/>
            <w:lang w:eastAsia="en-US"/>
          </w:rPr>
          <w:t>Observation 3</w:t>
        </w:r>
        <w:r w:rsidR="00C8021E">
          <w:rPr>
            <w:rFonts w:asciiTheme="minorHAnsi" w:eastAsiaTheme="minorEastAsia" w:hAnsiTheme="minorHAnsi"/>
            <w:b w:val="0"/>
            <w:noProof/>
            <w:sz w:val="22"/>
            <w:lang w:val="sv-SE" w:eastAsia="sv-SE"/>
          </w:rPr>
          <w:tab/>
        </w:r>
        <w:r w:rsidR="00C8021E" w:rsidRPr="000930A1">
          <w:rPr>
            <w:rStyle w:val="Hyperlink"/>
            <w:noProof/>
            <w:spacing w:val="2"/>
            <w:lang w:eastAsia="en-US"/>
          </w:rPr>
          <w:t>Without decoupling features from the same higher layer parameter, combining URLLC and NR-U features is not feasible.</w:t>
        </w:r>
        <w:r w:rsidR="00C8021E" w:rsidRPr="000930A1">
          <w:rPr>
            <w:rStyle w:val="Hyperlink"/>
            <w:i/>
            <w:noProof/>
            <w:spacing w:val="2"/>
            <w:lang w:eastAsia="en-US"/>
          </w:rPr>
          <w:t xml:space="preserve"> </w:t>
        </w:r>
        <w:r w:rsidR="00C8021E" w:rsidRPr="000930A1">
          <w:rPr>
            <w:rStyle w:val="Hyperlink"/>
            <w:iCs/>
            <w:noProof/>
            <w:spacing w:val="2"/>
            <w:lang w:eastAsia="en-US"/>
          </w:rPr>
          <w:t xml:space="preserve">One possibility is to use same RRC parameter for </w:t>
        </w:r>
        <w:r w:rsidR="00C8021E" w:rsidRPr="000930A1">
          <w:rPr>
            <w:rStyle w:val="Hyperlink"/>
            <w:noProof/>
            <w:spacing w:val="2"/>
            <w:lang w:eastAsia="en-US"/>
          </w:rPr>
          <w:t>features under a single attribute, but different RRC parameters for features in different attribute.</w:t>
        </w:r>
      </w:hyperlink>
    </w:p>
    <w:p w14:paraId="7D91EC5D" w14:textId="59DD2C26"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3C519EF" w14:textId="77777777" w:rsidR="00C8021E" w:rsidRDefault="006E1C82">
      <w:pPr>
        <w:pStyle w:val="TableofFigures"/>
        <w:tabs>
          <w:tab w:val="right" w:leader="dot" w:pos="9629"/>
        </w:tabs>
        <w:rPr>
          <w:rFonts w:asciiTheme="minorHAnsi" w:eastAsiaTheme="minorEastAsia" w:hAnsiTheme="minorHAnsi"/>
          <w:b w:val="0"/>
          <w:noProof/>
          <w:sz w:val="22"/>
          <w:lang w:val="sv-SE" w:eastAsia="sv-SE"/>
        </w:rPr>
      </w:pPr>
      <w:r>
        <w:rPr>
          <w:b w:val="0"/>
          <w:bCs/>
        </w:rPr>
        <w:fldChar w:fldCharType="begin"/>
      </w:r>
      <w:r>
        <w:rPr>
          <w:b w:val="0"/>
          <w:bCs/>
        </w:rPr>
        <w:instrText xml:space="preserve"> TOC \n \h \z \t "Proposal" \c </w:instrText>
      </w:r>
      <w:r>
        <w:rPr>
          <w:b w:val="0"/>
          <w:bCs/>
        </w:rPr>
        <w:fldChar w:fldCharType="separate"/>
      </w:r>
      <w:hyperlink w:anchor="_Toc54411792" w:history="1">
        <w:r w:rsidR="00C8021E" w:rsidRPr="00565275">
          <w:rPr>
            <w:rStyle w:val="Hyperlink"/>
            <w:noProof/>
          </w:rPr>
          <w:t>Proposal 1</w:t>
        </w:r>
        <w:r w:rsidR="00C8021E">
          <w:rPr>
            <w:rFonts w:asciiTheme="minorHAnsi" w:eastAsiaTheme="minorEastAsia" w:hAnsiTheme="minorHAnsi"/>
            <w:b w:val="0"/>
            <w:noProof/>
            <w:sz w:val="22"/>
            <w:lang w:val="sv-SE" w:eastAsia="sv-SE"/>
          </w:rPr>
          <w:tab/>
        </w:r>
        <w:r w:rsidR="00C8021E" w:rsidRPr="00565275">
          <w:rPr>
            <w:rStyle w:val="Hyperlink"/>
            <w:noProof/>
            <w:bdr w:val="none" w:sz="0" w:space="0" w:color="auto" w:frame="1"/>
          </w:rPr>
          <w:t>For semi-static channel access mode,</w:t>
        </w:r>
        <w:r w:rsidR="00C8021E" w:rsidRPr="00565275">
          <w:rPr>
            <w:rStyle w:val="Hyperlink"/>
            <w:noProof/>
          </w:rPr>
          <w:t> </w:t>
        </w:r>
        <w:r w:rsidR="00C8021E" w:rsidRPr="00565275">
          <w:rPr>
            <w:rStyle w:val="Hyperlink"/>
            <w:noProof/>
            <w:bdr w:val="none" w:sz="0" w:space="0" w:color="auto" w:frame="1"/>
          </w:rPr>
          <w:t>FFP Periodicity for UE-initiated COT can be different from the FFP periodicity for gNB-initiated COT.</w:t>
        </w:r>
      </w:hyperlink>
    </w:p>
    <w:p w14:paraId="2B80C489" w14:textId="77777777" w:rsidR="00C8021E" w:rsidRDefault="000E4064">
      <w:pPr>
        <w:pStyle w:val="TableofFigures"/>
        <w:tabs>
          <w:tab w:val="right" w:leader="dot" w:pos="9629"/>
        </w:tabs>
        <w:rPr>
          <w:rFonts w:asciiTheme="minorHAnsi" w:eastAsiaTheme="minorEastAsia" w:hAnsiTheme="minorHAnsi"/>
          <w:b w:val="0"/>
          <w:noProof/>
          <w:sz w:val="22"/>
          <w:lang w:val="sv-SE" w:eastAsia="sv-SE"/>
        </w:rPr>
      </w:pPr>
      <w:hyperlink w:anchor="_Toc54411793" w:history="1">
        <w:r w:rsidR="00C8021E" w:rsidRPr="00565275">
          <w:rPr>
            <w:rStyle w:val="Hyperlink"/>
            <w:rFonts w:ascii="Calibri" w:hAnsi="Calibri" w:cs="Calibri"/>
            <w:noProof/>
          </w:rPr>
          <w:t>Proposal 2</w:t>
        </w:r>
        <w:r w:rsidR="00C8021E">
          <w:rPr>
            <w:rFonts w:asciiTheme="minorHAnsi" w:eastAsiaTheme="minorEastAsia" w:hAnsiTheme="minorHAnsi"/>
            <w:b w:val="0"/>
            <w:noProof/>
            <w:sz w:val="22"/>
            <w:lang w:val="sv-SE" w:eastAsia="sv-SE"/>
          </w:rPr>
          <w:tab/>
        </w:r>
        <w:r w:rsidR="00C8021E" w:rsidRPr="00565275">
          <w:rPr>
            <w:rStyle w:val="Hyperlink"/>
            <w:noProof/>
          </w:rPr>
          <w:t>For semi-static channel access mode, UE-initiated COT is supported before dedicated RRC and is enabled by SIB-1.</w:t>
        </w:r>
      </w:hyperlink>
    </w:p>
    <w:p w14:paraId="06008607" w14:textId="77777777" w:rsidR="00C8021E" w:rsidRDefault="000E4064">
      <w:pPr>
        <w:pStyle w:val="TableofFigures"/>
        <w:tabs>
          <w:tab w:val="right" w:leader="dot" w:pos="9629"/>
        </w:tabs>
        <w:rPr>
          <w:rFonts w:asciiTheme="minorHAnsi" w:eastAsiaTheme="minorEastAsia" w:hAnsiTheme="minorHAnsi"/>
          <w:b w:val="0"/>
          <w:noProof/>
          <w:sz w:val="22"/>
          <w:lang w:val="sv-SE" w:eastAsia="sv-SE"/>
        </w:rPr>
      </w:pPr>
      <w:hyperlink w:anchor="_Toc54411794" w:history="1">
        <w:r w:rsidR="00C8021E" w:rsidRPr="00565275">
          <w:rPr>
            <w:rStyle w:val="Hyperlink"/>
            <w:rFonts w:ascii="Symbol" w:hAnsi="Symbol" w:cs="Calibri"/>
            <w:noProof/>
          </w:rPr>
          <w:t></w:t>
        </w:r>
        <w:r w:rsidR="00C8021E">
          <w:rPr>
            <w:rFonts w:asciiTheme="minorHAnsi" w:eastAsiaTheme="minorEastAsia" w:hAnsiTheme="minorHAnsi"/>
            <w:b w:val="0"/>
            <w:noProof/>
            <w:sz w:val="22"/>
            <w:lang w:val="sv-SE" w:eastAsia="sv-SE"/>
          </w:rPr>
          <w:tab/>
        </w:r>
        <w:r w:rsidR="00C8021E" w:rsidRPr="00565275">
          <w:rPr>
            <w:rStyle w:val="Hyperlink"/>
            <w:noProof/>
          </w:rPr>
          <w:t>UE FFP periodicity and offset are implicitly determined based on PRACH configuration corresponding to a PRACH transmission outside the gNB-initiated COT.</w:t>
        </w:r>
      </w:hyperlink>
    </w:p>
    <w:p w14:paraId="5D226E3E" w14:textId="77777777" w:rsidR="00C8021E" w:rsidRDefault="000E4064">
      <w:pPr>
        <w:pStyle w:val="TableofFigures"/>
        <w:tabs>
          <w:tab w:val="right" w:leader="dot" w:pos="9629"/>
        </w:tabs>
        <w:rPr>
          <w:rFonts w:asciiTheme="minorHAnsi" w:eastAsiaTheme="minorEastAsia" w:hAnsiTheme="minorHAnsi"/>
          <w:b w:val="0"/>
          <w:noProof/>
          <w:sz w:val="22"/>
          <w:lang w:val="sv-SE" w:eastAsia="sv-SE"/>
        </w:rPr>
      </w:pPr>
      <w:hyperlink w:anchor="_Toc54411795" w:history="1">
        <w:r w:rsidR="00C8021E" w:rsidRPr="00565275">
          <w:rPr>
            <w:rStyle w:val="Hyperlink"/>
            <w:noProof/>
            <w:lang w:val="en-GB"/>
          </w:rPr>
          <w:t>Proposal 3</w:t>
        </w:r>
        <w:r w:rsidR="00C8021E">
          <w:rPr>
            <w:rFonts w:asciiTheme="minorHAnsi" w:eastAsiaTheme="minorEastAsia" w:hAnsiTheme="minorHAnsi"/>
            <w:b w:val="0"/>
            <w:noProof/>
            <w:sz w:val="22"/>
            <w:lang w:val="sv-SE" w:eastAsia="sv-SE"/>
          </w:rPr>
          <w:tab/>
        </w:r>
        <w:r w:rsidR="00C8021E" w:rsidRPr="00565275">
          <w:rPr>
            <w:rStyle w:val="Hyperlink"/>
            <w:noProof/>
          </w:rPr>
          <w:t>In semi-static channel access mode, UE to gNB COT sharing is supported when the gap between DL transmission and the UL transmission is more or less than 16 us.</w:t>
        </w:r>
      </w:hyperlink>
    </w:p>
    <w:p w14:paraId="0CEC271B" w14:textId="77777777" w:rsidR="00C8021E" w:rsidRDefault="000E4064">
      <w:pPr>
        <w:pStyle w:val="TableofFigures"/>
        <w:tabs>
          <w:tab w:val="right" w:leader="dot" w:pos="9629"/>
        </w:tabs>
        <w:rPr>
          <w:rFonts w:asciiTheme="minorHAnsi" w:eastAsiaTheme="minorEastAsia" w:hAnsiTheme="minorHAnsi"/>
          <w:b w:val="0"/>
          <w:noProof/>
          <w:sz w:val="22"/>
          <w:lang w:val="sv-SE" w:eastAsia="sv-SE"/>
        </w:rPr>
      </w:pPr>
      <w:hyperlink w:anchor="_Toc54411796" w:history="1">
        <w:r w:rsidR="00C8021E" w:rsidRPr="00565275">
          <w:rPr>
            <w:rStyle w:val="Hyperlink"/>
            <w:rFonts w:ascii="Symbol" w:hAnsi="Symbol"/>
            <w:noProof/>
            <w:lang w:val="en-GB"/>
          </w:rPr>
          <w:t></w:t>
        </w:r>
        <w:r w:rsidR="00C8021E">
          <w:rPr>
            <w:rFonts w:asciiTheme="minorHAnsi" w:eastAsiaTheme="minorEastAsia" w:hAnsiTheme="minorHAnsi"/>
            <w:b w:val="0"/>
            <w:noProof/>
            <w:sz w:val="22"/>
            <w:lang w:val="sv-SE" w:eastAsia="sv-SE"/>
          </w:rPr>
          <w:tab/>
        </w:r>
        <w:r w:rsidR="00C8021E" w:rsidRPr="00565275">
          <w:rPr>
            <w:rStyle w:val="Hyperlink"/>
            <w:noProof/>
          </w:rPr>
          <w:t>Note: If the gap is at most 16 us, no sensing before the DL transmission is required. Otherwise, a 9 us sensing immediately before the DL transmission is required.</w:t>
        </w:r>
      </w:hyperlink>
    </w:p>
    <w:p w14:paraId="5AA4DD78" w14:textId="77777777" w:rsidR="00C8021E" w:rsidRDefault="000E4064">
      <w:pPr>
        <w:pStyle w:val="TableofFigures"/>
        <w:tabs>
          <w:tab w:val="right" w:leader="dot" w:pos="9629"/>
        </w:tabs>
        <w:rPr>
          <w:rFonts w:asciiTheme="minorHAnsi" w:eastAsiaTheme="minorEastAsia" w:hAnsiTheme="minorHAnsi"/>
          <w:b w:val="0"/>
          <w:noProof/>
          <w:sz w:val="22"/>
          <w:lang w:val="sv-SE" w:eastAsia="sv-SE"/>
        </w:rPr>
      </w:pPr>
      <w:hyperlink w:anchor="_Toc54411797" w:history="1">
        <w:r w:rsidR="00C8021E" w:rsidRPr="00565275">
          <w:rPr>
            <w:rStyle w:val="Hyperlink"/>
            <w:noProof/>
          </w:rPr>
          <w:t>Proposal 4</w:t>
        </w:r>
        <w:r w:rsidR="00C8021E">
          <w:rPr>
            <w:rFonts w:asciiTheme="minorHAnsi" w:eastAsiaTheme="minorEastAsia" w:hAnsiTheme="minorHAnsi"/>
            <w:b w:val="0"/>
            <w:noProof/>
            <w:sz w:val="22"/>
            <w:lang w:val="sv-SE" w:eastAsia="sv-SE"/>
          </w:rPr>
          <w:tab/>
        </w:r>
        <w:r w:rsidR="00C8021E" w:rsidRPr="00565275">
          <w:rPr>
            <w:rStyle w:val="Hyperlink"/>
            <w:noProof/>
          </w:rPr>
          <w:t>In semi-static channel access mode, when a UE is provided with both gNB FFP and UE FFP, the valid idle period associated to a DL or UL transmission is determined as follows:</w:t>
        </w:r>
      </w:hyperlink>
    </w:p>
    <w:p w14:paraId="01D13A4F" w14:textId="77777777" w:rsidR="00C8021E" w:rsidRDefault="000E4064">
      <w:pPr>
        <w:pStyle w:val="TableofFigures"/>
        <w:tabs>
          <w:tab w:val="right" w:leader="dot" w:pos="9629"/>
        </w:tabs>
        <w:rPr>
          <w:rFonts w:asciiTheme="minorHAnsi" w:eastAsiaTheme="minorEastAsia" w:hAnsiTheme="minorHAnsi"/>
          <w:b w:val="0"/>
          <w:noProof/>
          <w:sz w:val="22"/>
          <w:lang w:val="sv-SE" w:eastAsia="sv-SE"/>
        </w:rPr>
      </w:pPr>
      <w:hyperlink w:anchor="_Toc54411798" w:history="1">
        <w:r w:rsidR="00C8021E" w:rsidRPr="00565275">
          <w:rPr>
            <w:rStyle w:val="Hyperlink"/>
            <w:rFonts w:ascii="Symbol" w:hAnsi="Symbol"/>
            <w:noProof/>
          </w:rPr>
          <w:t></w:t>
        </w:r>
        <w:r w:rsidR="00C8021E">
          <w:rPr>
            <w:rFonts w:asciiTheme="minorHAnsi" w:eastAsiaTheme="minorEastAsia" w:hAnsiTheme="minorHAnsi"/>
            <w:b w:val="0"/>
            <w:noProof/>
            <w:sz w:val="22"/>
            <w:lang w:val="sv-SE" w:eastAsia="sv-SE"/>
          </w:rPr>
          <w:tab/>
        </w:r>
        <w:r w:rsidR="00C8021E" w:rsidRPr="00565275">
          <w:rPr>
            <w:rStyle w:val="Hyperlink"/>
            <w:noProof/>
          </w:rPr>
          <w:t>For scheduled transmissions, the associated valid idle period is indicated in the scheduling DCI;</w:t>
        </w:r>
      </w:hyperlink>
    </w:p>
    <w:p w14:paraId="52B6A9E3" w14:textId="77777777" w:rsidR="00C8021E" w:rsidRDefault="000E4064">
      <w:pPr>
        <w:pStyle w:val="TableofFigures"/>
        <w:tabs>
          <w:tab w:val="right" w:leader="dot" w:pos="9629"/>
        </w:tabs>
        <w:rPr>
          <w:rFonts w:asciiTheme="minorHAnsi" w:eastAsiaTheme="minorEastAsia" w:hAnsiTheme="minorHAnsi"/>
          <w:b w:val="0"/>
          <w:noProof/>
          <w:sz w:val="22"/>
          <w:lang w:val="sv-SE" w:eastAsia="sv-SE"/>
        </w:rPr>
      </w:pPr>
      <w:hyperlink w:anchor="_Toc54411799" w:history="1">
        <w:r w:rsidR="00C8021E" w:rsidRPr="00565275">
          <w:rPr>
            <w:rStyle w:val="Hyperlink"/>
            <w:rFonts w:ascii="Symbol" w:hAnsi="Symbol"/>
            <w:noProof/>
          </w:rPr>
          <w:t></w:t>
        </w:r>
        <w:r w:rsidR="00C8021E">
          <w:rPr>
            <w:rFonts w:asciiTheme="minorHAnsi" w:eastAsiaTheme="minorEastAsia" w:hAnsiTheme="minorHAnsi"/>
            <w:b w:val="0"/>
            <w:noProof/>
            <w:sz w:val="22"/>
            <w:lang w:val="sv-SE" w:eastAsia="sv-SE"/>
          </w:rPr>
          <w:tab/>
        </w:r>
        <w:r w:rsidR="00C8021E" w:rsidRPr="00565275">
          <w:rPr>
            <w:rStyle w:val="Hyperlink"/>
            <w:noProof/>
          </w:rPr>
          <w:t>For configured transmissions, apply a rule to determine the associated valid idle period.</w:t>
        </w:r>
      </w:hyperlink>
    </w:p>
    <w:p w14:paraId="44A0445B" w14:textId="77777777" w:rsidR="00C8021E" w:rsidRDefault="000E4064">
      <w:pPr>
        <w:pStyle w:val="TableofFigures"/>
        <w:tabs>
          <w:tab w:val="right" w:leader="dot" w:pos="9629"/>
        </w:tabs>
        <w:rPr>
          <w:rFonts w:asciiTheme="minorHAnsi" w:eastAsiaTheme="minorEastAsia" w:hAnsiTheme="minorHAnsi"/>
          <w:b w:val="0"/>
          <w:noProof/>
          <w:sz w:val="22"/>
          <w:lang w:val="sv-SE" w:eastAsia="sv-SE"/>
        </w:rPr>
      </w:pPr>
      <w:hyperlink w:anchor="_Toc54411800" w:history="1">
        <w:r w:rsidR="00C8021E" w:rsidRPr="00565275">
          <w:rPr>
            <w:rStyle w:val="Hyperlink"/>
            <w:noProof/>
          </w:rPr>
          <w:t>Proposal 5</w:t>
        </w:r>
        <w:r w:rsidR="00C8021E">
          <w:rPr>
            <w:rFonts w:asciiTheme="minorHAnsi" w:eastAsiaTheme="minorEastAsia" w:hAnsiTheme="minorHAnsi"/>
            <w:b w:val="0"/>
            <w:noProof/>
            <w:sz w:val="22"/>
            <w:lang w:val="sv-SE" w:eastAsia="sv-SE"/>
          </w:rPr>
          <w:tab/>
        </w:r>
        <w:r w:rsidR="00C8021E" w:rsidRPr="00565275">
          <w:rPr>
            <w:rStyle w:val="Hyperlink"/>
            <w:noProof/>
          </w:rPr>
          <w:t xml:space="preserve">Configuration of </w:t>
        </w:r>
        <w:r w:rsidR="00C8021E" w:rsidRPr="00565275">
          <w:rPr>
            <w:rStyle w:val="Hyperlink"/>
            <w:i/>
            <w:iCs/>
            <w:noProof/>
          </w:rPr>
          <w:t>cg-RetransmissionTimer</w:t>
        </w:r>
        <w:r w:rsidR="00C8021E" w:rsidRPr="00565275">
          <w:rPr>
            <w:rStyle w:val="Hyperlink"/>
            <w:noProof/>
          </w:rPr>
          <w:t xml:space="preserve"> is optional when configured grant Type 1 or Type 2 are configured on unlicensed spectrum.</w:t>
        </w:r>
      </w:hyperlink>
    </w:p>
    <w:p w14:paraId="536B2E33" w14:textId="77777777" w:rsidR="00C8021E" w:rsidRDefault="000E4064">
      <w:pPr>
        <w:pStyle w:val="TableofFigures"/>
        <w:tabs>
          <w:tab w:val="right" w:leader="dot" w:pos="9629"/>
        </w:tabs>
        <w:rPr>
          <w:rFonts w:asciiTheme="minorHAnsi" w:eastAsiaTheme="minorEastAsia" w:hAnsiTheme="minorHAnsi"/>
          <w:b w:val="0"/>
          <w:noProof/>
          <w:sz w:val="22"/>
          <w:lang w:val="sv-SE" w:eastAsia="sv-SE"/>
        </w:rPr>
      </w:pPr>
      <w:hyperlink w:anchor="_Toc54411801" w:history="1">
        <w:r w:rsidR="00C8021E" w:rsidRPr="00565275">
          <w:rPr>
            <w:rStyle w:val="Hyperlink"/>
            <w:noProof/>
          </w:rPr>
          <w:t>Proposal 6</w:t>
        </w:r>
        <w:r w:rsidR="00C8021E">
          <w:rPr>
            <w:rFonts w:asciiTheme="minorHAnsi" w:eastAsiaTheme="minorEastAsia" w:hAnsiTheme="minorHAnsi"/>
            <w:b w:val="0"/>
            <w:noProof/>
            <w:sz w:val="22"/>
            <w:lang w:val="sv-SE" w:eastAsia="sv-SE"/>
          </w:rPr>
          <w:tab/>
        </w:r>
        <w:r w:rsidR="00C8021E" w:rsidRPr="00565275">
          <w:rPr>
            <w:rStyle w:val="Hyperlink"/>
            <w:noProof/>
          </w:rPr>
          <w:t xml:space="preserve">Ensure NR-U UL CG features (CG-UCI, CG-DFI, cg-RetransmissionTimer) are enabled with configuration of an RRC parameter (e.g. </w:t>
        </w:r>
        <w:r w:rsidR="00C8021E" w:rsidRPr="00565275">
          <w:rPr>
            <w:rStyle w:val="Hyperlink"/>
            <w:i/>
            <w:iCs/>
            <w:noProof/>
          </w:rPr>
          <w:t>cg-RetransmissionTimer)</w:t>
        </w:r>
      </w:hyperlink>
    </w:p>
    <w:p w14:paraId="51D83DE2" w14:textId="77777777" w:rsidR="00C8021E" w:rsidRDefault="000E4064">
      <w:pPr>
        <w:pStyle w:val="TableofFigures"/>
        <w:tabs>
          <w:tab w:val="right" w:leader="dot" w:pos="9629"/>
        </w:tabs>
        <w:rPr>
          <w:rFonts w:asciiTheme="minorHAnsi" w:eastAsiaTheme="minorEastAsia" w:hAnsiTheme="minorHAnsi"/>
          <w:b w:val="0"/>
          <w:noProof/>
          <w:sz w:val="22"/>
          <w:lang w:val="sv-SE" w:eastAsia="sv-SE"/>
        </w:rPr>
      </w:pPr>
      <w:hyperlink w:anchor="_Toc54411802" w:history="1">
        <w:r w:rsidR="00C8021E" w:rsidRPr="00565275">
          <w:rPr>
            <w:rStyle w:val="Hyperlink"/>
            <w:noProof/>
          </w:rPr>
          <w:t>Proposal 7</w:t>
        </w:r>
        <w:r w:rsidR="00C8021E">
          <w:rPr>
            <w:rFonts w:asciiTheme="minorHAnsi" w:eastAsiaTheme="minorEastAsia" w:hAnsiTheme="minorHAnsi"/>
            <w:b w:val="0"/>
            <w:noProof/>
            <w:sz w:val="22"/>
            <w:lang w:val="sv-SE" w:eastAsia="sv-SE"/>
          </w:rPr>
          <w:tab/>
        </w:r>
        <w:r w:rsidR="00C8021E" w:rsidRPr="00565275">
          <w:rPr>
            <w:rStyle w:val="Hyperlink"/>
            <w:noProof/>
          </w:rPr>
          <w:t>Ensure UL CG operation based on Rel-16 URLLC features is fully supported in unlicensed as in licensed.</w:t>
        </w:r>
      </w:hyperlink>
    </w:p>
    <w:p w14:paraId="6FCADB65" w14:textId="77777777" w:rsidR="00C8021E" w:rsidRDefault="000E4064">
      <w:pPr>
        <w:pStyle w:val="TableofFigures"/>
        <w:tabs>
          <w:tab w:val="right" w:leader="dot" w:pos="9629"/>
        </w:tabs>
        <w:rPr>
          <w:rFonts w:asciiTheme="minorHAnsi" w:eastAsiaTheme="minorEastAsia" w:hAnsiTheme="minorHAnsi"/>
          <w:b w:val="0"/>
          <w:noProof/>
          <w:sz w:val="22"/>
          <w:lang w:val="sv-SE" w:eastAsia="sv-SE"/>
        </w:rPr>
      </w:pPr>
      <w:hyperlink w:anchor="_Toc54411803" w:history="1">
        <w:r w:rsidR="00C8021E" w:rsidRPr="00565275">
          <w:rPr>
            <w:rStyle w:val="Hyperlink"/>
            <w:rFonts w:ascii="Symbol" w:hAnsi="Symbol"/>
            <w:noProof/>
          </w:rPr>
          <w:t></w:t>
        </w:r>
        <w:r w:rsidR="00C8021E">
          <w:rPr>
            <w:rFonts w:asciiTheme="minorHAnsi" w:eastAsiaTheme="minorEastAsia" w:hAnsiTheme="minorHAnsi"/>
            <w:b w:val="0"/>
            <w:noProof/>
            <w:sz w:val="22"/>
            <w:lang w:val="sv-SE" w:eastAsia="sv-SE"/>
          </w:rPr>
          <w:tab/>
        </w:r>
        <w:r w:rsidR="00C8021E" w:rsidRPr="00565275">
          <w:rPr>
            <w:rStyle w:val="Hyperlink"/>
            <w:noProof/>
          </w:rPr>
          <w:t xml:space="preserve">Enable configuration of </w:t>
        </w:r>
        <w:r w:rsidR="00C8021E" w:rsidRPr="00565275">
          <w:rPr>
            <w:rStyle w:val="Hyperlink"/>
            <w:i/>
            <w:iCs/>
            <w:noProof/>
            <w:lang w:val="x-none"/>
          </w:rPr>
          <w:t>harq-ProcID-Offset2</w:t>
        </w:r>
        <w:r w:rsidR="00C8021E" w:rsidRPr="00565275">
          <w:rPr>
            <w:rStyle w:val="Hyperlink"/>
            <w:noProof/>
          </w:rPr>
          <w:t xml:space="preserve"> for unlicensed</w:t>
        </w:r>
      </w:hyperlink>
    </w:p>
    <w:p w14:paraId="544F98CB" w14:textId="77777777" w:rsidR="00C8021E" w:rsidRDefault="000E4064">
      <w:pPr>
        <w:pStyle w:val="TableofFigures"/>
        <w:tabs>
          <w:tab w:val="right" w:leader="dot" w:pos="9629"/>
        </w:tabs>
        <w:rPr>
          <w:rFonts w:asciiTheme="minorHAnsi" w:eastAsiaTheme="minorEastAsia" w:hAnsiTheme="minorHAnsi"/>
          <w:b w:val="0"/>
          <w:noProof/>
          <w:sz w:val="22"/>
          <w:lang w:val="sv-SE" w:eastAsia="sv-SE"/>
        </w:rPr>
      </w:pPr>
      <w:hyperlink w:anchor="_Toc54411804" w:history="1">
        <w:r w:rsidR="00C8021E" w:rsidRPr="00565275">
          <w:rPr>
            <w:rStyle w:val="Hyperlink"/>
            <w:noProof/>
          </w:rPr>
          <w:t>Proposal 8</w:t>
        </w:r>
        <w:r w:rsidR="00C8021E">
          <w:rPr>
            <w:rFonts w:asciiTheme="minorHAnsi" w:eastAsiaTheme="minorEastAsia" w:hAnsiTheme="minorHAnsi"/>
            <w:b w:val="0"/>
            <w:noProof/>
            <w:sz w:val="22"/>
            <w:lang w:val="sv-SE" w:eastAsia="sv-SE"/>
          </w:rPr>
          <w:tab/>
        </w:r>
        <w:r w:rsidR="00C8021E" w:rsidRPr="00565275">
          <w:rPr>
            <w:rStyle w:val="Hyperlink"/>
            <w:noProof/>
            <w:lang w:val="en-GB"/>
          </w:rPr>
          <w:t xml:space="preserve">Enable configuration of </w:t>
        </w:r>
        <w:r w:rsidR="00C8021E" w:rsidRPr="00565275">
          <w:rPr>
            <w:rStyle w:val="Hyperlink"/>
            <w:i/>
            <w:iCs/>
            <w:noProof/>
            <w:lang w:val="en-GB"/>
          </w:rPr>
          <w:t>cg-nrofSlots-r16</w:t>
        </w:r>
        <w:r w:rsidR="00C8021E" w:rsidRPr="00565275">
          <w:rPr>
            <w:rStyle w:val="Hyperlink"/>
            <w:noProof/>
            <w:lang w:val="en-GB"/>
          </w:rPr>
          <w:t xml:space="preserve">, </w:t>
        </w:r>
        <w:r w:rsidR="00C8021E" w:rsidRPr="00565275">
          <w:rPr>
            <w:rStyle w:val="Hyperlink"/>
            <w:i/>
            <w:iCs/>
            <w:noProof/>
            <w:lang w:val="en-GB"/>
          </w:rPr>
          <w:t>cg-nrofPUSCH-InSlot-r16</w:t>
        </w:r>
        <w:r w:rsidR="00C8021E" w:rsidRPr="00565275">
          <w:rPr>
            <w:rStyle w:val="Hyperlink"/>
            <w:noProof/>
            <w:lang w:val="en-GB"/>
          </w:rPr>
          <w:t xml:space="preserve"> for UL CG without CG-UCI.</w:t>
        </w:r>
      </w:hyperlink>
    </w:p>
    <w:p w14:paraId="0CA57B31" w14:textId="77777777" w:rsidR="00C8021E" w:rsidRDefault="000E4064">
      <w:pPr>
        <w:pStyle w:val="TableofFigures"/>
        <w:tabs>
          <w:tab w:val="right" w:leader="dot" w:pos="9629"/>
        </w:tabs>
        <w:rPr>
          <w:rFonts w:asciiTheme="minorHAnsi" w:eastAsiaTheme="minorEastAsia" w:hAnsiTheme="minorHAnsi"/>
          <w:b w:val="0"/>
          <w:noProof/>
          <w:sz w:val="22"/>
          <w:lang w:val="sv-SE" w:eastAsia="sv-SE"/>
        </w:rPr>
      </w:pPr>
      <w:hyperlink w:anchor="_Toc54411805" w:history="1">
        <w:r w:rsidR="00C8021E" w:rsidRPr="00565275">
          <w:rPr>
            <w:rStyle w:val="Hyperlink"/>
            <w:rFonts w:ascii="Symbol" w:hAnsi="Symbol"/>
            <w:noProof/>
          </w:rPr>
          <w:t></w:t>
        </w:r>
        <w:r w:rsidR="00C8021E">
          <w:rPr>
            <w:rFonts w:asciiTheme="minorHAnsi" w:eastAsiaTheme="minorEastAsia" w:hAnsiTheme="minorHAnsi"/>
            <w:b w:val="0"/>
            <w:noProof/>
            <w:sz w:val="22"/>
            <w:lang w:val="sv-SE" w:eastAsia="sv-SE"/>
          </w:rPr>
          <w:tab/>
        </w:r>
        <w:r w:rsidR="00C8021E" w:rsidRPr="00565275">
          <w:rPr>
            <w:rStyle w:val="Hyperlink"/>
            <w:noProof/>
            <w:lang w:val="en-GB"/>
          </w:rPr>
          <w:t>Simplified repetition Type B (without segmentation)</w:t>
        </w:r>
      </w:hyperlink>
    </w:p>
    <w:p w14:paraId="58ACA235" w14:textId="4373B94D" w:rsidR="00C01F33" w:rsidRPr="006C1CE2" w:rsidRDefault="006E1C82" w:rsidP="006C1CE2">
      <w:pPr>
        <w:pStyle w:val="BodyText"/>
        <w:rPr>
          <w:b/>
          <w:bCs/>
        </w:rPr>
      </w:pPr>
      <w:r>
        <w:rPr>
          <w:b/>
          <w:bCs/>
        </w:rPr>
        <w:fldChar w:fldCharType="end"/>
      </w:r>
      <w:r w:rsidRPr="00CE0424">
        <w:rPr>
          <w:b/>
          <w:bCs/>
        </w:rPr>
        <w:t xml:space="preserve"> </w:t>
      </w:r>
    </w:p>
    <w:p w14:paraId="71D79D99" w14:textId="77777777" w:rsidR="00F507D1" w:rsidRPr="00CE0424" w:rsidRDefault="00F507D1" w:rsidP="00CE0424">
      <w:pPr>
        <w:pStyle w:val="Heading1"/>
      </w:pPr>
      <w:bookmarkStart w:id="26" w:name="_In-sequence_SDU_delivery"/>
      <w:bookmarkEnd w:id="26"/>
      <w:r w:rsidRPr="00CE0424">
        <w:t>References</w:t>
      </w:r>
    </w:p>
    <w:p w14:paraId="2F35F14B" w14:textId="77777777" w:rsidR="00DB0376" w:rsidRPr="00DB0376" w:rsidRDefault="00DB0376" w:rsidP="00DB0376">
      <w:pPr>
        <w:pStyle w:val="Reference"/>
        <w:rPr>
          <w:rFonts w:cs="Arial"/>
          <w:bCs/>
        </w:rPr>
      </w:pPr>
      <w:bookmarkStart w:id="27" w:name="_Ref47461202"/>
      <w:bookmarkStart w:id="28" w:name="_Ref174151459"/>
      <w:bookmarkStart w:id="29" w:name="_Ref189809556"/>
      <w:r w:rsidRPr="00DB0376">
        <w:rPr>
          <w:rFonts w:eastAsia="Batang" w:cs="Arial"/>
          <w:bCs/>
        </w:rPr>
        <w:t>RP-201310</w:t>
      </w:r>
      <w:r w:rsidRPr="00DB0376">
        <w:rPr>
          <w:rFonts w:eastAsia="Batang" w:cs="Arial"/>
          <w:bCs/>
        </w:rPr>
        <w:tab/>
      </w:r>
      <w:r w:rsidRPr="00DB0376">
        <w:rPr>
          <w:rFonts w:eastAsia="Batang" w:cs="Arial"/>
          <w:bCs/>
        </w:rPr>
        <w:tab/>
        <w:t>Revised WID: Enhanced Industrial Internet of Things (IoT) and ultra-reliable and low latency communication (URLLC) support for NR; Nokia, Nokia Shanghai Bell</w:t>
      </w:r>
      <w:bookmarkEnd w:id="27"/>
    </w:p>
    <w:p w14:paraId="4CA0913B" w14:textId="77777777" w:rsidR="00DB0376" w:rsidRPr="00B036CB" w:rsidRDefault="00DB0376" w:rsidP="00DB0376">
      <w:pPr>
        <w:pStyle w:val="Reference"/>
        <w:numPr>
          <w:ilvl w:val="0"/>
          <w:numId w:val="0"/>
        </w:numPr>
        <w:ind w:left="567" w:hanging="567"/>
        <w:rPr>
          <w:rFonts w:cs="Arial"/>
          <w:szCs w:val="20"/>
        </w:rPr>
      </w:pPr>
    </w:p>
    <w:bookmarkEnd w:id="28"/>
    <w:bookmarkEnd w:id="29"/>
    <w:p w14:paraId="715CA09B" w14:textId="77777777" w:rsidR="003A7EF3" w:rsidRPr="00B036CB" w:rsidRDefault="003A7EF3" w:rsidP="00CE0424">
      <w:pPr>
        <w:pStyle w:val="BodyText"/>
        <w:rPr>
          <w:rFonts w:cs="Arial"/>
          <w:szCs w:val="20"/>
        </w:rPr>
      </w:pPr>
    </w:p>
    <w:sectPr w:rsidR="003A7EF3" w:rsidRPr="00B036C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2B8F12" w14:textId="77777777" w:rsidR="00022686" w:rsidRDefault="00022686">
      <w:r>
        <w:separator/>
      </w:r>
    </w:p>
  </w:endnote>
  <w:endnote w:type="continuationSeparator" w:id="0">
    <w:p w14:paraId="790B2F0D" w14:textId="77777777" w:rsidR="00022686" w:rsidRDefault="00022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00000287" w:usb1="08070000"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CB9DC3" w14:textId="77777777" w:rsidR="00022686" w:rsidRDefault="00022686">
      <w:r>
        <w:separator/>
      </w:r>
    </w:p>
  </w:footnote>
  <w:footnote w:type="continuationSeparator" w:id="0">
    <w:p w14:paraId="33BACCB7" w14:textId="77777777" w:rsidR="00022686" w:rsidRDefault="000226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5E646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A623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70739E"/>
    <w:multiLevelType w:val="hybridMultilevel"/>
    <w:tmpl w:val="BCC2E6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8601A6B"/>
    <w:multiLevelType w:val="hybridMultilevel"/>
    <w:tmpl w:val="5C882F52"/>
    <w:lvl w:ilvl="0" w:tplc="DDA4599A">
      <w:start w:val="1"/>
      <w:numFmt w:val="bullet"/>
      <w:lvlText w:val="—"/>
      <w:lvlJc w:val="left"/>
      <w:pPr>
        <w:tabs>
          <w:tab w:val="num" w:pos="720"/>
        </w:tabs>
        <w:ind w:left="720" w:hanging="360"/>
      </w:pPr>
      <w:rPr>
        <w:rFonts w:ascii="Ericsson Hilda Light" w:hAnsi="Ericsson Hilda Light" w:hint="default"/>
      </w:rPr>
    </w:lvl>
    <w:lvl w:ilvl="1" w:tplc="FAA888EA">
      <w:start w:val="1"/>
      <w:numFmt w:val="bullet"/>
      <w:lvlText w:val="—"/>
      <w:lvlJc w:val="left"/>
      <w:pPr>
        <w:tabs>
          <w:tab w:val="num" w:pos="1440"/>
        </w:tabs>
        <w:ind w:left="1440" w:hanging="360"/>
      </w:pPr>
      <w:rPr>
        <w:rFonts w:ascii="Ericsson Hilda Light" w:hAnsi="Ericsson Hilda Light" w:hint="default"/>
      </w:rPr>
    </w:lvl>
    <w:lvl w:ilvl="2" w:tplc="E55805E4">
      <w:numFmt w:val="bullet"/>
      <w:lvlText w:val="—"/>
      <w:lvlJc w:val="left"/>
      <w:pPr>
        <w:tabs>
          <w:tab w:val="num" w:pos="2160"/>
        </w:tabs>
        <w:ind w:left="2160" w:hanging="360"/>
      </w:pPr>
      <w:rPr>
        <w:rFonts w:ascii="Ericsson Hilda Light" w:hAnsi="Ericsson Hilda Light" w:hint="default"/>
      </w:rPr>
    </w:lvl>
    <w:lvl w:ilvl="3" w:tplc="6C42B0CE" w:tentative="1">
      <w:start w:val="1"/>
      <w:numFmt w:val="bullet"/>
      <w:lvlText w:val="—"/>
      <w:lvlJc w:val="left"/>
      <w:pPr>
        <w:tabs>
          <w:tab w:val="num" w:pos="2880"/>
        </w:tabs>
        <w:ind w:left="2880" w:hanging="360"/>
      </w:pPr>
      <w:rPr>
        <w:rFonts w:ascii="Ericsson Hilda Light" w:hAnsi="Ericsson Hilda Light" w:hint="default"/>
      </w:rPr>
    </w:lvl>
    <w:lvl w:ilvl="4" w:tplc="67F6D41E" w:tentative="1">
      <w:start w:val="1"/>
      <w:numFmt w:val="bullet"/>
      <w:lvlText w:val="—"/>
      <w:lvlJc w:val="left"/>
      <w:pPr>
        <w:tabs>
          <w:tab w:val="num" w:pos="3600"/>
        </w:tabs>
        <w:ind w:left="3600" w:hanging="360"/>
      </w:pPr>
      <w:rPr>
        <w:rFonts w:ascii="Ericsson Hilda Light" w:hAnsi="Ericsson Hilda Light" w:hint="default"/>
      </w:rPr>
    </w:lvl>
    <w:lvl w:ilvl="5" w:tplc="0B200E70" w:tentative="1">
      <w:start w:val="1"/>
      <w:numFmt w:val="bullet"/>
      <w:lvlText w:val="—"/>
      <w:lvlJc w:val="left"/>
      <w:pPr>
        <w:tabs>
          <w:tab w:val="num" w:pos="4320"/>
        </w:tabs>
        <w:ind w:left="4320" w:hanging="360"/>
      </w:pPr>
      <w:rPr>
        <w:rFonts w:ascii="Ericsson Hilda Light" w:hAnsi="Ericsson Hilda Light" w:hint="default"/>
      </w:rPr>
    </w:lvl>
    <w:lvl w:ilvl="6" w:tplc="4F9A1D1E" w:tentative="1">
      <w:start w:val="1"/>
      <w:numFmt w:val="bullet"/>
      <w:lvlText w:val="—"/>
      <w:lvlJc w:val="left"/>
      <w:pPr>
        <w:tabs>
          <w:tab w:val="num" w:pos="5040"/>
        </w:tabs>
        <w:ind w:left="5040" w:hanging="360"/>
      </w:pPr>
      <w:rPr>
        <w:rFonts w:ascii="Ericsson Hilda Light" w:hAnsi="Ericsson Hilda Light" w:hint="default"/>
      </w:rPr>
    </w:lvl>
    <w:lvl w:ilvl="7" w:tplc="6256E030" w:tentative="1">
      <w:start w:val="1"/>
      <w:numFmt w:val="bullet"/>
      <w:lvlText w:val="—"/>
      <w:lvlJc w:val="left"/>
      <w:pPr>
        <w:tabs>
          <w:tab w:val="num" w:pos="5760"/>
        </w:tabs>
        <w:ind w:left="5760" w:hanging="360"/>
      </w:pPr>
      <w:rPr>
        <w:rFonts w:ascii="Ericsson Hilda Light" w:hAnsi="Ericsson Hilda Light" w:hint="default"/>
      </w:rPr>
    </w:lvl>
    <w:lvl w:ilvl="8" w:tplc="4430360E" w:tentative="1">
      <w:start w:val="1"/>
      <w:numFmt w:val="bullet"/>
      <w:lvlText w:val="—"/>
      <w:lvlJc w:val="left"/>
      <w:pPr>
        <w:tabs>
          <w:tab w:val="num" w:pos="6480"/>
        </w:tabs>
        <w:ind w:left="6480" w:hanging="360"/>
      </w:pPr>
      <w:rPr>
        <w:rFonts w:ascii="Ericsson Hilda Light" w:hAnsi="Ericsson Hilda Light"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EF76913"/>
    <w:multiLevelType w:val="hybridMultilevel"/>
    <w:tmpl w:val="A5CCF946"/>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7B13BEF"/>
    <w:multiLevelType w:val="hybridMultilevel"/>
    <w:tmpl w:val="3114405E"/>
    <w:lvl w:ilvl="0" w:tplc="D3D4F316">
      <w:start w:val="2"/>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AA46647"/>
    <w:multiLevelType w:val="hybridMultilevel"/>
    <w:tmpl w:val="BE9AC2D6"/>
    <w:lvl w:ilvl="0" w:tplc="78A864BC">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6C52C6"/>
    <w:multiLevelType w:val="hybridMultilevel"/>
    <w:tmpl w:val="64CEB3B0"/>
    <w:lvl w:ilvl="0" w:tplc="0B8AE75E">
      <w:start w:val="1"/>
      <w:numFmt w:val="bullet"/>
      <w:lvlText w:val="—"/>
      <w:lvlJc w:val="left"/>
      <w:pPr>
        <w:tabs>
          <w:tab w:val="num" w:pos="720"/>
        </w:tabs>
        <w:ind w:left="720" w:hanging="360"/>
      </w:pPr>
      <w:rPr>
        <w:rFonts w:ascii="Ericsson Hilda Light" w:hAnsi="Ericsson Hilda Light" w:hint="default"/>
      </w:rPr>
    </w:lvl>
    <w:lvl w:ilvl="1" w:tplc="7D9AFE1E">
      <w:start w:val="1"/>
      <w:numFmt w:val="bullet"/>
      <w:lvlText w:val="—"/>
      <w:lvlJc w:val="left"/>
      <w:pPr>
        <w:tabs>
          <w:tab w:val="num" w:pos="1440"/>
        </w:tabs>
        <w:ind w:left="1440" w:hanging="360"/>
      </w:pPr>
      <w:rPr>
        <w:rFonts w:ascii="Ericsson Hilda Light" w:hAnsi="Ericsson Hilda Light" w:hint="default"/>
      </w:rPr>
    </w:lvl>
    <w:lvl w:ilvl="2" w:tplc="91804290" w:tentative="1">
      <w:start w:val="1"/>
      <w:numFmt w:val="bullet"/>
      <w:lvlText w:val="—"/>
      <w:lvlJc w:val="left"/>
      <w:pPr>
        <w:tabs>
          <w:tab w:val="num" w:pos="2160"/>
        </w:tabs>
        <w:ind w:left="2160" w:hanging="360"/>
      </w:pPr>
      <w:rPr>
        <w:rFonts w:ascii="Ericsson Hilda Light" w:hAnsi="Ericsson Hilda Light" w:hint="default"/>
      </w:rPr>
    </w:lvl>
    <w:lvl w:ilvl="3" w:tplc="15FA97FA" w:tentative="1">
      <w:start w:val="1"/>
      <w:numFmt w:val="bullet"/>
      <w:lvlText w:val="—"/>
      <w:lvlJc w:val="left"/>
      <w:pPr>
        <w:tabs>
          <w:tab w:val="num" w:pos="2880"/>
        </w:tabs>
        <w:ind w:left="2880" w:hanging="360"/>
      </w:pPr>
      <w:rPr>
        <w:rFonts w:ascii="Ericsson Hilda Light" w:hAnsi="Ericsson Hilda Light" w:hint="default"/>
      </w:rPr>
    </w:lvl>
    <w:lvl w:ilvl="4" w:tplc="E280FA8A" w:tentative="1">
      <w:start w:val="1"/>
      <w:numFmt w:val="bullet"/>
      <w:lvlText w:val="—"/>
      <w:lvlJc w:val="left"/>
      <w:pPr>
        <w:tabs>
          <w:tab w:val="num" w:pos="3600"/>
        </w:tabs>
        <w:ind w:left="3600" w:hanging="360"/>
      </w:pPr>
      <w:rPr>
        <w:rFonts w:ascii="Ericsson Hilda Light" w:hAnsi="Ericsson Hilda Light" w:hint="default"/>
      </w:rPr>
    </w:lvl>
    <w:lvl w:ilvl="5" w:tplc="03BA3A7E" w:tentative="1">
      <w:start w:val="1"/>
      <w:numFmt w:val="bullet"/>
      <w:lvlText w:val="—"/>
      <w:lvlJc w:val="left"/>
      <w:pPr>
        <w:tabs>
          <w:tab w:val="num" w:pos="4320"/>
        </w:tabs>
        <w:ind w:left="4320" w:hanging="360"/>
      </w:pPr>
      <w:rPr>
        <w:rFonts w:ascii="Ericsson Hilda Light" w:hAnsi="Ericsson Hilda Light" w:hint="default"/>
      </w:rPr>
    </w:lvl>
    <w:lvl w:ilvl="6" w:tplc="82741242" w:tentative="1">
      <w:start w:val="1"/>
      <w:numFmt w:val="bullet"/>
      <w:lvlText w:val="—"/>
      <w:lvlJc w:val="left"/>
      <w:pPr>
        <w:tabs>
          <w:tab w:val="num" w:pos="5040"/>
        </w:tabs>
        <w:ind w:left="5040" w:hanging="360"/>
      </w:pPr>
      <w:rPr>
        <w:rFonts w:ascii="Ericsson Hilda Light" w:hAnsi="Ericsson Hilda Light" w:hint="default"/>
      </w:rPr>
    </w:lvl>
    <w:lvl w:ilvl="7" w:tplc="F4D42E3E" w:tentative="1">
      <w:start w:val="1"/>
      <w:numFmt w:val="bullet"/>
      <w:lvlText w:val="—"/>
      <w:lvlJc w:val="left"/>
      <w:pPr>
        <w:tabs>
          <w:tab w:val="num" w:pos="5760"/>
        </w:tabs>
        <w:ind w:left="5760" w:hanging="360"/>
      </w:pPr>
      <w:rPr>
        <w:rFonts w:ascii="Ericsson Hilda Light" w:hAnsi="Ericsson Hilda Light" w:hint="default"/>
      </w:rPr>
    </w:lvl>
    <w:lvl w:ilvl="8" w:tplc="5D68EBB4" w:tentative="1">
      <w:start w:val="1"/>
      <w:numFmt w:val="bullet"/>
      <w:lvlText w:val="—"/>
      <w:lvlJc w:val="left"/>
      <w:pPr>
        <w:tabs>
          <w:tab w:val="num" w:pos="6480"/>
        </w:tabs>
        <w:ind w:left="6480" w:hanging="360"/>
      </w:pPr>
      <w:rPr>
        <w:rFonts w:ascii="Ericsson Hilda Light" w:hAnsi="Ericsson Hilda Light" w:hint="default"/>
      </w:rPr>
    </w:lvl>
  </w:abstractNum>
  <w:abstractNum w:abstractNumId="22"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3E32EA"/>
    <w:multiLevelType w:val="hybridMultilevel"/>
    <w:tmpl w:val="2F5AF7E6"/>
    <w:lvl w:ilvl="0" w:tplc="BB72B402">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101505E"/>
    <w:multiLevelType w:val="hybridMultilevel"/>
    <w:tmpl w:val="06FC3856"/>
    <w:lvl w:ilvl="0" w:tplc="C2B40424">
      <w:start w:val="1"/>
      <w:numFmt w:val="decimal"/>
      <w:pStyle w:val="Observation"/>
      <w:lvlText w:val="Observation %1"/>
      <w:lvlJc w:val="left"/>
      <w:pPr>
        <w:ind w:left="36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C22AFA"/>
    <w:multiLevelType w:val="hybridMultilevel"/>
    <w:tmpl w:val="869EC09C"/>
    <w:lvl w:ilvl="0" w:tplc="04090001">
      <w:start w:val="1"/>
      <w:numFmt w:val="bullet"/>
      <w:lvlText w:val=""/>
      <w:lvlJc w:val="left"/>
      <w:pPr>
        <w:ind w:left="1020" w:hanging="360"/>
      </w:pPr>
      <w:rPr>
        <w:rFonts w:ascii="Symbol" w:hAnsi="Symbol" w:hint="default"/>
      </w:rPr>
    </w:lvl>
    <w:lvl w:ilvl="1" w:tplc="AB2C36EC">
      <w:start w:val="23"/>
      <w:numFmt w:val="bullet"/>
      <w:lvlText w:val="·"/>
      <w:lvlJc w:val="left"/>
      <w:pPr>
        <w:ind w:left="1860" w:hanging="480"/>
      </w:pPr>
      <w:rPr>
        <w:rFonts w:ascii="Calibri" w:eastAsia="SimSun" w:hAnsi="Calibri" w:cs="Calibri" w:hint="default"/>
      </w:rPr>
    </w:lvl>
    <w:lvl w:ilvl="2" w:tplc="04090005">
      <w:start w:val="1"/>
      <w:numFmt w:val="bullet"/>
      <w:lvlText w:val=""/>
      <w:lvlJc w:val="left"/>
      <w:pPr>
        <w:ind w:left="2460" w:hanging="360"/>
      </w:pPr>
      <w:rPr>
        <w:rFonts w:ascii="Wingdings" w:hAnsi="Wingdings" w:hint="default"/>
      </w:rPr>
    </w:lvl>
    <w:lvl w:ilvl="3" w:tplc="04090001">
      <w:start w:val="1"/>
      <w:numFmt w:val="bullet"/>
      <w:lvlText w:val=""/>
      <w:lvlJc w:val="left"/>
      <w:pPr>
        <w:ind w:left="3180" w:hanging="360"/>
      </w:pPr>
      <w:rPr>
        <w:rFonts w:ascii="Symbol" w:hAnsi="Symbol" w:hint="default"/>
      </w:rPr>
    </w:lvl>
    <w:lvl w:ilvl="4" w:tplc="04090003">
      <w:start w:val="1"/>
      <w:numFmt w:val="bullet"/>
      <w:lvlText w:val="o"/>
      <w:lvlJc w:val="left"/>
      <w:pPr>
        <w:ind w:left="3900" w:hanging="360"/>
      </w:pPr>
      <w:rPr>
        <w:rFonts w:ascii="Courier New" w:hAnsi="Courier New" w:cs="Courier New" w:hint="default"/>
      </w:rPr>
    </w:lvl>
    <w:lvl w:ilvl="5" w:tplc="04090005">
      <w:start w:val="1"/>
      <w:numFmt w:val="bullet"/>
      <w:lvlText w:val=""/>
      <w:lvlJc w:val="left"/>
      <w:pPr>
        <w:ind w:left="4620" w:hanging="360"/>
      </w:pPr>
      <w:rPr>
        <w:rFonts w:ascii="Wingdings" w:hAnsi="Wingdings" w:hint="default"/>
      </w:rPr>
    </w:lvl>
    <w:lvl w:ilvl="6" w:tplc="04090001">
      <w:start w:val="1"/>
      <w:numFmt w:val="bullet"/>
      <w:lvlText w:val=""/>
      <w:lvlJc w:val="left"/>
      <w:pPr>
        <w:ind w:left="5340" w:hanging="360"/>
      </w:pPr>
      <w:rPr>
        <w:rFonts w:ascii="Symbol" w:hAnsi="Symbol" w:hint="default"/>
      </w:rPr>
    </w:lvl>
    <w:lvl w:ilvl="7" w:tplc="04090003">
      <w:start w:val="1"/>
      <w:numFmt w:val="bullet"/>
      <w:lvlText w:val="o"/>
      <w:lvlJc w:val="left"/>
      <w:pPr>
        <w:ind w:left="6060" w:hanging="360"/>
      </w:pPr>
      <w:rPr>
        <w:rFonts w:ascii="Courier New" w:hAnsi="Courier New" w:cs="Courier New" w:hint="default"/>
      </w:rPr>
    </w:lvl>
    <w:lvl w:ilvl="8" w:tplc="04090005">
      <w:start w:val="1"/>
      <w:numFmt w:val="bullet"/>
      <w:lvlText w:val=""/>
      <w:lvlJc w:val="left"/>
      <w:pPr>
        <w:ind w:left="6780" w:hanging="360"/>
      </w:pPr>
      <w:rPr>
        <w:rFonts w:ascii="Wingdings" w:hAnsi="Wingdings" w:hint="default"/>
      </w:rPr>
    </w:lvl>
  </w:abstractNum>
  <w:abstractNum w:abstractNumId="29"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A5787C"/>
    <w:multiLevelType w:val="hybridMultilevel"/>
    <w:tmpl w:val="C5BC40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CB970C5"/>
    <w:multiLevelType w:val="hybridMultilevel"/>
    <w:tmpl w:val="E7C2B16C"/>
    <w:lvl w:ilvl="0" w:tplc="2CDC789A">
      <w:start w:val="1"/>
      <w:numFmt w:val="bullet"/>
      <w:lvlText w:val="—"/>
      <w:lvlJc w:val="left"/>
      <w:pPr>
        <w:tabs>
          <w:tab w:val="num" w:pos="720"/>
        </w:tabs>
        <w:ind w:left="720" w:hanging="360"/>
      </w:pPr>
      <w:rPr>
        <w:rFonts w:ascii="Ericsson Hilda Light" w:hAnsi="Ericsson Hilda Light" w:hint="default"/>
      </w:rPr>
    </w:lvl>
    <w:lvl w:ilvl="1" w:tplc="336ABA30">
      <w:numFmt w:val="bullet"/>
      <w:lvlText w:val="—"/>
      <w:lvlJc w:val="left"/>
      <w:pPr>
        <w:tabs>
          <w:tab w:val="num" w:pos="1440"/>
        </w:tabs>
        <w:ind w:left="1440" w:hanging="360"/>
      </w:pPr>
      <w:rPr>
        <w:rFonts w:ascii="Ericsson Hilda Light" w:hAnsi="Ericsson Hilda Light" w:hint="default"/>
      </w:rPr>
    </w:lvl>
    <w:lvl w:ilvl="2" w:tplc="6E6ED020">
      <w:numFmt w:val="bullet"/>
      <w:lvlText w:val="—"/>
      <w:lvlJc w:val="left"/>
      <w:pPr>
        <w:tabs>
          <w:tab w:val="num" w:pos="2160"/>
        </w:tabs>
        <w:ind w:left="2160" w:hanging="360"/>
      </w:pPr>
      <w:rPr>
        <w:rFonts w:ascii="Ericsson Hilda Light" w:hAnsi="Ericsson Hilda Light" w:hint="default"/>
      </w:rPr>
    </w:lvl>
    <w:lvl w:ilvl="3" w:tplc="D470690E">
      <w:start w:val="1"/>
      <w:numFmt w:val="bullet"/>
      <w:lvlText w:val="—"/>
      <w:lvlJc w:val="left"/>
      <w:pPr>
        <w:tabs>
          <w:tab w:val="num" w:pos="2880"/>
        </w:tabs>
        <w:ind w:left="2880" w:hanging="360"/>
      </w:pPr>
      <w:rPr>
        <w:rFonts w:ascii="Ericsson Hilda Light" w:hAnsi="Ericsson Hilda Light" w:hint="default"/>
      </w:rPr>
    </w:lvl>
    <w:lvl w:ilvl="4" w:tplc="D7043630" w:tentative="1">
      <w:start w:val="1"/>
      <w:numFmt w:val="bullet"/>
      <w:lvlText w:val="—"/>
      <w:lvlJc w:val="left"/>
      <w:pPr>
        <w:tabs>
          <w:tab w:val="num" w:pos="3600"/>
        </w:tabs>
        <w:ind w:left="3600" w:hanging="360"/>
      </w:pPr>
      <w:rPr>
        <w:rFonts w:ascii="Ericsson Hilda Light" w:hAnsi="Ericsson Hilda Light" w:hint="default"/>
      </w:rPr>
    </w:lvl>
    <w:lvl w:ilvl="5" w:tplc="57ACE69C" w:tentative="1">
      <w:start w:val="1"/>
      <w:numFmt w:val="bullet"/>
      <w:lvlText w:val="—"/>
      <w:lvlJc w:val="left"/>
      <w:pPr>
        <w:tabs>
          <w:tab w:val="num" w:pos="4320"/>
        </w:tabs>
        <w:ind w:left="4320" w:hanging="360"/>
      </w:pPr>
      <w:rPr>
        <w:rFonts w:ascii="Ericsson Hilda Light" w:hAnsi="Ericsson Hilda Light" w:hint="default"/>
      </w:rPr>
    </w:lvl>
    <w:lvl w:ilvl="6" w:tplc="6D6064C2" w:tentative="1">
      <w:start w:val="1"/>
      <w:numFmt w:val="bullet"/>
      <w:lvlText w:val="—"/>
      <w:lvlJc w:val="left"/>
      <w:pPr>
        <w:tabs>
          <w:tab w:val="num" w:pos="5040"/>
        </w:tabs>
        <w:ind w:left="5040" w:hanging="360"/>
      </w:pPr>
      <w:rPr>
        <w:rFonts w:ascii="Ericsson Hilda Light" w:hAnsi="Ericsson Hilda Light" w:hint="default"/>
      </w:rPr>
    </w:lvl>
    <w:lvl w:ilvl="7" w:tplc="ECD67DA6" w:tentative="1">
      <w:start w:val="1"/>
      <w:numFmt w:val="bullet"/>
      <w:lvlText w:val="—"/>
      <w:lvlJc w:val="left"/>
      <w:pPr>
        <w:tabs>
          <w:tab w:val="num" w:pos="5760"/>
        </w:tabs>
        <w:ind w:left="5760" w:hanging="360"/>
      </w:pPr>
      <w:rPr>
        <w:rFonts w:ascii="Ericsson Hilda Light" w:hAnsi="Ericsson Hilda Light" w:hint="default"/>
      </w:rPr>
    </w:lvl>
    <w:lvl w:ilvl="8" w:tplc="D3A03540" w:tentative="1">
      <w:start w:val="1"/>
      <w:numFmt w:val="bullet"/>
      <w:lvlText w:val="—"/>
      <w:lvlJc w:val="left"/>
      <w:pPr>
        <w:tabs>
          <w:tab w:val="num" w:pos="6480"/>
        </w:tabs>
        <w:ind w:left="6480" w:hanging="360"/>
      </w:pPr>
      <w:rPr>
        <w:rFonts w:ascii="Ericsson Hilda Light" w:hAnsi="Ericsson Hilda Light" w:hint="default"/>
      </w:rPr>
    </w:lvl>
  </w:abstractNum>
  <w:abstractNum w:abstractNumId="34" w15:restartNumberingAfterBreak="0">
    <w:nsid w:val="5E0D5BD1"/>
    <w:multiLevelType w:val="hybridMultilevel"/>
    <w:tmpl w:val="58C01AC6"/>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5"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B3177D4"/>
    <w:multiLevelType w:val="hybridMultilevel"/>
    <w:tmpl w:val="B0622164"/>
    <w:lvl w:ilvl="0" w:tplc="455A0AEA">
      <w:start w:val="1"/>
      <w:numFmt w:val="bullet"/>
      <w:lvlText w:val="—"/>
      <w:lvlJc w:val="left"/>
      <w:pPr>
        <w:tabs>
          <w:tab w:val="num" w:pos="720"/>
        </w:tabs>
        <w:ind w:left="720" w:hanging="360"/>
      </w:pPr>
      <w:rPr>
        <w:rFonts w:ascii="Ericsson Hilda Light" w:hAnsi="Ericsson Hilda Light" w:hint="default"/>
      </w:rPr>
    </w:lvl>
    <w:lvl w:ilvl="1" w:tplc="22463AE8">
      <w:numFmt w:val="bullet"/>
      <w:lvlText w:val="—"/>
      <w:lvlJc w:val="left"/>
      <w:pPr>
        <w:tabs>
          <w:tab w:val="num" w:pos="1440"/>
        </w:tabs>
        <w:ind w:left="1440" w:hanging="360"/>
      </w:pPr>
      <w:rPr>
        <w:rFonts w:ascii="Ericsson Hilda Light" w:hAnsi="Ericsson Hilda Light" w:hint="default"/>
      </w:rPr>
    </w:lvl>
    <w:lvl w:ilvl="2" w:tplc="617C4AB4" w:tentative="1">
      <w:start w:val="1"/>
      <w:numFmt w:val="bullet"/>
      <w:lvlText w:val="—"/>
      <w:lvlJc w:val="left"/>
      <w:pPr>
        <w:tabs>
          <w:tab w:val="num" w:pos="2160"/>
        </w:tabs>
        <w:ind w:left="2160" w:hanging="360"/>
      </w:pPr>
      <w:rPr>
        <w:rFonts w:ascii="Ericsson Hilda Light" w:hAnsi="Ericsson Hilda Light" w:hint="default"/>
      </w:rPr>
    </w:lvl>
    <w:lvl w:ilvl="3" w:tplc="6F5CB232" w:tentative="1">
      <w:start w:val="1"/>
      <w:numFmt w:val="bullet"/>
      <w:lvlText w:val="—"/>
      <w:lvlJc w:val="left"/>
      <w:pPr>
        <w:tabs>
          <w:tab w:val="num" w:pos="2880"/>
        </w:tabs>
        <w:ind w:left="2880" w:hanging="360"/>
      </w:pPr>
      <w:rPr>
        <w:rFonts w:ascii="Ericsson Hilda Light" w:hAnsi="Ericsson Hilda Light" w:hint="default"/>
      </w:rPr>
    </w:lvl>
    <w:lvl w:ilvl="4" w:tplc="97F2A3C6" w:tentative="1">
      <w:start w:val="1"/>
      <w:numFmt w:val="bullet"/>
      <w:lvlText w:val="—"/>
      <w:lvlJc w:val="left"/>
      <w:pPr>
        <w:tabs>
          <w:tab w:val="num" w:pos="3600"/>
        </w:tabs>
        <w:ind w:left="3600" w:hanging="360"/>
      </w:pPr>
      <w:rPr>
        <w:rFonts w:ascii="Ericsson Hilda Light" w:hAnsi="Ericsson Hilda Light" w:hint="default"/>
      </w:rPr>
    </w:lvl>
    <w:lvl w:ilvl="5" w:tplc="4E2C569C" w:tentative="1">
      <w:start w:val="1"/>
      <w:numFmt w:val="bullet"/>
      <w:lvlText w:val="—"/>
      <w:lvlJc w:val="left"/>
      <w:pPr>
        <w:tabs>
          <w:tab w:val="num" w:pos="4320"/>
        </w:tabs>
        <w:ind w:left="4320" w:hanging="360"/>
      </w:pPr>
      <w:rPr>
        <w:rFonts w:ascii="Ericsson Hilda Light" w:hAnsi="Ericsson Hilda Light" w:hint="default"/>
      </w:rPr>
    </w:lvl>
    <w:lvl w:ilvl="6" w:tplc="185E43F6" w:tentative="1">
      <w:start w:val="1"/>
      <w:numFmt w:val="bullet"/>
      <w:lvlText w:val="—"/>
      <w:lvlJc w:val="left"/>
      <w:pPr>
        <w:tabs>
          <w:tab w:val="num" w:pos="5040"/>
        </w:tabs>
        <w:ind w:left="5040" w:hanging="360"/>
      </w:pPr>
      <w:rPr>
        <w:rFonts w:ascii="Ericsson Hilda Light" w:hAnsi="Ericsson Hilda Light" w:hint="default"/>
      </w:rPr>
    </w:lvl>
    <w:lvl w:ilvl="7" w:tplc="C9D47156" w:tentative="1">
      <w:start w:val="1"/>
      <w:numFmt w:val="bullet"/>
      <w:lvlText w:val="—"/>
      <w:lvlJc w:val="left"/>
      <w:pPr>
        <w:tabs>
          <w:tab w:val="num" w:pos="5760"/>
        </w:tabs>
        <w:ind w:left="5760" w:hanging="360"/>
      </w:pPr>
      <w:rPr>
        <w:rFonts w:ascii="Ericsson Hilda Light" w:hAnsi="Ericsson Hilda Light" w:hint="default"/>
      </w:rPr>
    </w:lvl>
    <w:lvl w:ilvl="8" w:tplc="5B70378C" w:tentative="1">
      <w:start w:val="1"/>
      <w:numFmt w:val="bullet"/>
      <w:lvlText w:val="—"/>
      <w:lvlJc w:val="left"/>
      <w:pPr>
        <w:tabs>
          <w:tab w:val="num" w:pos="6480"/>
        </w:tabs>
        <w:ind w:left="6480" w:hanging="360"/>
      </w:pPr>
      <w:rPr>
        <w:rFonts w:ascii="Ericsson Hilda Light" w:hAnsi="Ericsson Hilda Light"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3"/>
  </w:num>
  <w:num w:numId="3">
    <w:abstractNumId w:val="17"/>
  </w:num>
  <w:num w:numId="4">
    <w:abstractNumId w:val="18"/>
  </w:num>
  <w:num w:numId="5">
    <w:abstractNumId w:val="13"/>
  </w:num>
  <w:num w:numId="6">
    <w:abstractNumId w:val="20"/>
  </w:num>
  <w:num w:numId="7">
    <w:abstractNumId w:val="30"/>
  </w:num>
  <w:num w:numId="8">
    <w:abstractNumId w:val="14"/>
  </w:num>
  <w:num w:numId="9">
    <w:abstractNumId w:val="10"/>
  </w:num>
  <w:num w:numId="10">
    <w:abstractNumId w:val="2"/>
  </w:num>
  <w:num w:numId="11">
    <w:abstractNumId w:val="1"/>
  </w:num>
  <w:num w:numId="12">
    <w:abstractNumId w:val="0"/>
  </w:num>
  <w:num w:numId="13">
    <w:abstractNumId w:val="26"/>
  </w:num>
  <w:num w:numId="14">
    <w:abstractNumId w:val="27"/>
  </w:num>
  <w:num w:numId="15">
    <w:abstractNumId w:val="19"/>
  </w:num>
  <w:num w:numId="16">
    <w:abstractNumId w:val="32"/>
  </w:num>
  <w:num w:numId="17">
    <w:abstractNumId w:val="7"/>
  </w:num>
  <w:num w:numId="18">
    <w:abstractNumId w:val="8"/>
  </w:num>
  <w:num w:numId="19">
    <w:abstractNumId w:val="5"/>
  </w:num>
  <w:num w:numId="20">
    <w:abstractNumId w:val="39"/>
  </w:num>
  <w:num w:numId="21">
    <w:abstractNumId w:val="15"/>
  </w:num>
  <w:num w:numId="22">
    <w:abstractNumId w:val="38"/>
  </w:num>
  <w:num w:numId="23">
    <w:abstractNumId w:val="11"/>
  </w:num>
  <w:num w:numId="24">
    <w:abstractNumId w:val="3"/>
  </w:num>
  <w:num w:numId="25">
    <w:abstractNumId w:val="29"/>
  </w:num>
  <w:num w:numId="26">
    <w:abstractNumId w:val="35"/>
  </w:num>
  <w:num w:numId="27">
    <w:abstractNumId w:val="25"/>
  </w:num>
  <w:num w:numId="28">
    <w:abstractNumId w:val="22"/>
  </w:num>
  <w:num w:numId="29">
    <w:abstractNumId w:val="28"/>
  </w:num>
  <w:num w:numId="30">
    <w:abstractNumId w:val="36"/>
  </w:num>
  <w:num w:numId="31">
    <w:abstractNumId w:val="6"/>
  </w:num>
  <w:num w:numId="32">
    <w:abstractNumId w:val="24"/>
  </w:num>
  <w:num w:numId="33">
    <w:abstractNumId w:val="21"/>
  </w:num>
  <w:num w:numId="34">
    <w:abstractNumId w:val="16"/>
  </w:num>
  <w:num w:numId="35">
    <w:abstractNumId w:val="37"/>
  </w:num>
  <w:num w:numId="36">
    <w:abstractNumId w:val="12"/>
  </w:num>
  <w:num w:numId="37">
    <w:abstractNumId w:val="34"/>
  </w:num>
  <w:num w:numId="38">
    <w:abstractNumId w:val="9"/>
  </w:num>
  <w:num w:numId="39">
    <w:abstractNumId w:val="31"/>
  </w:num>
  <w:num w:numId="40">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921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2686"/>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61CE"/>
    <w:rsid w:val="00077E5F"/>
    <w:rsid w:val="0008036A"/>
    <w:rsid w:val="00081AE6"/>
    <w:rsid w:val="000855EB"/>
    <w:rsid w:val="00085B52"/>
    <w:rsid w:val="000866F2"/>
    <w:rsid w:val="0009009F"/>
    <w:rsid w:val="00091557"/>
    <w:rsid w:val="000924C1"/>
    <w:rsid w:val="000924F0"/>
    <w:rsid w:val="00093474"/>
    <w:rsid w:val="0009510F"/>
    <w:rsid w:val="000A0606"/>
    <w:rsid w:val="000A1B7B"/>
    <w:rsid w:val="000A56F2"/>
    <w:rsid w:val="000B2719"/>
    <w:rsid w:val="000B3A8F"/>
    <w:rsid w:val="000B41C0"/>
    <w:rsid w:val="000B4AB9"/>
    <w:rsid w:val="000B58C3"/>
    <w:rsid w:val="000B61E9"/>
    <w:rsid w:val="000C165A"/>
    <w:rsid w:val="000C2E19"/>
    <w:rsid w:val="000D0D07"/>
    <w:rsid w:val="000D4797"/>
    <w:rsid w:val="000E0527"/>
    <w:rsid w:val="000E1E92"/>
    <w:rsid w:val="000E4064"/>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2937"/>
    <w:rsid w:val="00151E23"/>
    <w:rsid w:val="001526E0"/>
    <w:rsid w:val="00153411"/>
    <w:rsid w:val="001551B5"/>
    <w:rsid w:val="00157C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1E2E"/>
    <w:rsid w:val="001F3916"/>
    <w:rsid w:val="001F53E9"/>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1CC1"/>
    <w:rsid w:val="00235632"/>
    <w:rsid w:val="00235872"/>
    <w:rsid w:val="002373DB"/>
    <w:rsid w:val="00241559"/>
    <w:rsid w:val="002435B3"/>
    <w:rsid w:val="002458EB"/>
    <w:rsid w:val="00245DDA"/>
    <w:rsid w:val="002500C8"/>
    <w:rsid w:val="0025480A"/>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3259"/>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5DDD"/>
    <w:rsid w:val="00346DB5"/>
    <w:rsid w:val="003477B1"/>
    <w:rsid w:val="00357380"/>
    <w:rsid w:val="003602D9"/>
    <w:rsid w:val="003604CE"/>
    <w:rsid w:val="00362226"/>
    <w:rsid w:val="00370E47"/>
    <w:rsid w:val="003742AC"/>
    <w:rsid w:val="00377CE1"/>
    <w:rsid w:val="00385BF0"/>
    <w:rsid w:val="003939FF"/>
    <w:rsid w:val="003A2223"/>
    <w:rsid w:val="003A2A0F"/>
    <w:rsid w:val="003A405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16E0"/>
    <w:rsid w:val="003E4432"/>
    <w:rsid w:val="003E55E4"/>
    <w:rsid w:val="003E74E3"/>
    <w:rsid w:val="003F05C7"/>
    <w:rsid w:val="003F2CD4"/>
    <w:rsid w:val="003F6BBE"/>
    <w:rsid w:val="004000E8"/>
    <w:rsid w:val="00402E2B"/>
    <w:rsid w:val="0040512B"/>
    <w:rsid w:val="00405CA5"/>
    <w:rsid w:val="004076A1"/>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341A"/>
    <w:rsid w:val="00444308"/>
    <w:rsid w:val="00444892"/>
    <w:rsid w:val="00444F56"/>
    <w:rsid w:val="00446488"/>
    <w:rsid w:val="004517AA"/>
    <w:rsid w:val="00452CAC"/>
    <w:rsid w:val="004553A9"/>
    <w:rsid w:val="00457565"/>
    <w:rsid w:val="00457B71"/>
    <w:rsid w:val="0046437B"/>
    <w:rsid w:val="00464689"/>
    <w:rsid w:val="004669E2"/>
    <w:rsid w:val="00470C31"/>
    <w:rsid w:val="00471DE0"/>
    <w:rsid w:val="004734D0"/>
    <w:rsid w:val="0047556B"/>
    <w:rsid w:val="004760F5"/>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9F9"/>
    <w:rsid w:val="00513E86"/>
    <w:rsid w:val="005153A7"/>
    <w:rsid w:val="00517E68"/>
    <w:rsid w:val="005219CF"/>
    <w:rsid w:val="005240C6"/>
    <w:rsid w:val="00534B59"/>
    <w:rsid w:val="00536759"/>
    <w:rsid w:val="00537C62"/>
    <w:rsid w:val="00546970"/>
    <w:rsid w:val="00554E19"/>
    <w:rsid w:val="0056121F"/>
    <w:rsid w:val="00565E78"/>
    <w:rsid w:val="005660D2"/>
    <w:rsid w:val="00572505"/>
    <w:rsid w:val="00575553"/>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1E50"/>
    <w:rsid w:val="005C74FB"/>
    <w:rsid w:val="005D1602"/>
    <w:rsid w:val="005E385F"/>
    <w:rsid w:val="005E5B81"/>
    <w:rsid w:val="005F1ED9"/>
    <w:rsid w:val="005F2CB1"/>
    <w:rsid w:val="005F3025"/>
    <w:rsid w:val="005F618C"/>
    <w:rsid w:val="005F70BD"/>
    <w:rsid w:val="0060283C"/>
    <w:rsid w:val="00604F14"/>
    <w:rsid w:val="00611B83"/>
    <w:rsid w:val="00613257"/>
    <w:rsid w:val="00620A71"/>
    <w:rsid w:val="00620D80"/>
    <w:rsid w:val="00622BAC"/>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67FEA"/>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3AE6"/>
    <w:rsid w:val="006B50CF"/>
    <w:rsid w:val="006B6E9C"/>
    <w:rsid w:val="006C03B8"/>
    <w:rsid w:val="006C1CE2"/>
    <w:rsid w:val="006C5EC9"/>
    <w:rsid w:val="006C6059"/>
    <w:rsid w:val="006C7522"/>
    <w:rsid w:val="006D2FC9"/>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6F6999"/>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48B1"/>
    <w:rsid w:val="007362A6"/>
    <w:rsid w:val="00736D7D"/>
    <w:rsid w:val="00740E58"/>
    <w:rsid w:val="007424F2"/>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114"/>
    <w:rsid w:val="00796231"/>
    <w:rsid w:val="00796B96"/>
    <w:rsid w:val="00797529"/>
    <w:rsid w:val="007A1CB3"/>
    <w:rsid w:val="007A306F"/>
    <w:rsid w:val="007A43A6"/>
    <w:rsid w:val="007A44B6"/>
    <w:rsid w:val="007A58A6"/>
    <w:rsid w:val="007B0E55"/>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4A3D"/>
    <w:rsid w:val="00893E50"/>
    <w:rsid w:val="008941E3"/>
    <w:rsid w:val="00894A88"/>
    <w:rsid w:val="00895386"/>
    <w:rsid w:val="008953BA"/>
    <w:rsid w:val="008A21FF"/>
    <w:rsid w:val="008A2CE2"/>
    <w:rsid w:val="008A30AC"/>
    <w:rsid w:val="008A44B8"/>
    <w:rsid w:val="008A51A8"/>
    <w:rsid w:val="008A54C7"/>
    <w:rsid w:val="008A7300"/>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7B7F"/>
    <w:rsid w:val="008F1C4E"/>
    <w:rsid w:val="008F1EAB"/>
    <w:rsid w:val="008F33DC"/>
    <w:rsid w:val="008F477F"/>
    <w:rsid w:val="00902350"/>
    <w:rsid w:val="0090336B"/>
    <w:rsid w:val="0090425B"/>
    <w:rsid w:val="009053AA"/>
    <w:rsid w:val="00906939"/>
    <w:rsid w:val="00910B7D"/>
    <w:rsid w:val="00911DFB"/>
    <w:rsid w:val="009139D9"/>
    <w:rsid w:val="00914AD8"/>
    <w:rsid w:val="00916079"/>
    <w:rsid w:val="00917CE9"/>
    <w:rsid w:val="0092075B"/>
    <w:rsid w:val="00920BF2"/>
    <w:rsid w:val="00922010"/>
    <w:rsid w:val="00931BD9"/>
    <w:rsid w:val="009368F3"/>
    <w:rsid w:val="00936BF3"/>
    <w:rsid w:val="00941636"/>
    <w:rsid w:val="00943742"/>
    <w:rsid w:val="00945C05"/>
    <w:rsid w:val="00946945"/>
    <w:rsid w:val="00947713"/>
    <w:rsid w:val="00950DE7"/>
    <w:rsid w:val="00953920"/>
    <w:rsid w:val="00953D47"/>
    <w:rsid w:val="00954C16"/>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3FDD"/>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2842"/>
    <w:rsid w:val="00A2351A"/>
    <w:rsid w:val="00A264A9"/>
    <w:rsid w:val="00A26DCF"/>
    <w:rsid w:val="00A27785"/>
    <w:rsid w:val="00A30187"/>
    <w:rsid w:val="00A3448A"/>
    <w:rsid w:val="00A359F9"/>
    <w:rsid w:val="00A36297"/>
    <w:rsid w:val="00A41E2B"/>
    <w:rsid w:val="00A45B74"/>
    <w:rsid w:val="00A52E1D"/>
    <w:rsid w:val="00A61499"/>
    <w:rsid w:val="00A62A77"/>
    <w:rsid w:val="00A63483"/>
    <w:rsid w:val="00A657D7"/>
    <w:rsid w:val="00A660AC"/>
    <w:rsid w:val="00A67E6C"/>
    <w:rsid w:val="00A71B99"/>
    <w:rsid w:val="00A739D0"/>
    <w:rsid w:val="00A761D4"/>
    <w:rsid w:val="00A761F4"/>
    <w:rsid w:val="00A77EC4"/>
    <w:rsid w:val="00A92879"/>
    <w:rsid w:val="00A9442A"/>
    <w:rsid w:val="00AA016F"/>
    <w:rsid w:val="00AA1ED6"/>
    <w:rsid w:val="00AA51D6"/>
    <w:rsid w:val="00AB0BC8"/>
    <w:rsid w:val="00AB11CA"/>
    <w:rsid w:val="00AB14D9"/>
    <w:rsid w:val="00AB4AB8"/>
    <w:rsid w:val="00AB655E"/>
    <w:rsid w:val="00AB710A"/>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36CB"/>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13D8"/>
    <w:rsid w:val="00B739F6"/>
    <w:rsid w:val="00B76292"/>
    <w:rsid w:val="00B81A6C"/>
    <w:rsid w:val="00B85DE5"/>
    <w:rsid w:val="00B86B31"/>
    <w:rsid w:val="00B90F73"/>
    <w:rsid w:val="00B93B59"/>
    <w:rsid w:val="00B9406A"/>
    <w:rsid w:val="00BA1873"/>
    <w:rsid w:val="00BA2280"/>
    <w:rsid w:val="00BA2A08"/>
    <w:rsid w:val="00BA56D2"/>
    <w:rsid w:val="00BA76E0"/>
    <w:rsid w:val="00BB2A25"/>
    <w:rsid w:val="00BB36CD"/>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4E49"/>
    <w:rsid w:val="00C05706"/>
    <w:rsid w:val="00C07377"/>
    <w:rsid w:val="00C10478"/>
    <w:rsid w:val="00C12107"/>
    <w:rsid w:val="00C14D4B"/>
    <w:rsid w:val="00C154BB"/>
    <w:rsid w:val="00C15F7C"/>
    <w:rsid w:val="00C279B5"/>
    <w:rsid w:val="00C27C45"/>
    <w:rsid w:val="00C3719D"/>
    <w:rsid w:val="00C37CB2"/>
    <w:rsid w:val="00C465CB"/>
    <w:rsid w:val="00C473A5"/>
    <w:rsid w:val="00C54995"/>
    <w:rsid w:val="00C54D41"/>
    <w:rsid w:val="00C60783"/>
    <w:rsid w:val="00C64672"/>
    <w:rsid w:val="00C70697"/>
    <w:rsid w:val="00C72093"/>
    <w:rsid w:val="00C72EF4"/>
    <w:rsid w:val="00C744FE"/>
    <w:rsid w:val="00C75D2F"/>
    <w:rsid w:val="00C767BE"/>
    <w:rsid w:val="00C76E3C"/>
    <w:rsid w:val="00C8021E"/>
    <w:rsid w:val="00C81568"/>
    <w:rsid w:val="00C9027A"/>
    <w:rsid w:val="00C9068E"/>
    <w:rsid w:val="00C9180D"/>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5666"/>
    <w:rsid w:val="00CD7D2E"/>
    <w:rsid w:val="00CE0424"/>
    <w:rsid w:val="00CE1306"/>
    <w:rsid w:val="00CE7561"/>
    <w:rsid w:val="00CF1354"/>
    <w:rsid w:val="00CF3B1F"/>
    <w:rsid w:val="00CF3BF6"/>
    <w:rsid w:val="00CF625B"/>
    <w:rsid w:val="00CF687E"/>
    <w:rsid w:val="00D029EE"/>
    <w:rsid w:val="00D0349B"/>
    <w:rsid w:val="00D035D3"/>
    <w:rsid w:val="00D10249"/>
    <w:rsid w:val="00D115C3"/>
    <w:rsid w:val="00D11897"/>
    <w:rsid w:val="00D13135"/>
    <w:rsid w:val="00D13CE4"/>
    <w:rsid w:val="00D13E4E"/>
    <w:rsid w:val="00D239A7"/>
    <w:rsid w:val="00D23F47"/>
    <w:rsid w:val="00D36E71"/>
    <w:rsid w:val="00D37D87"/>
    <w:rsid w:val="00D40B33"/>
    <w:rsid w:val="00D4318F"/>
    <w:rsid w:val="00D438BF"/>
    <w:rsid w:val="00D440F8"/>
    <w:rsid w:val="00D4438D"/>
    <w:rsid w:val="00D546FF"/>
    <w:rsid w:val="00D55AD5"/>
    <w:rsid w:val="00D576CA"/>
    <w:rsid w:val="00D61AF5"/>
    <w:rsid w:val="00D652B5"/>
    <w:rsid w:val="00D66155"/>
    <w:rsid w:val="00D67816"/>
    <w:rsid w:val="00D708B0"/>
    <w:rsid w:val="00D77B1D"/>
    <w:rsid w:val="00D8021F"/>
    <w:rsid w:val="00D80383"/>
    <w:rsid w:val="00D82318"/>
    <w:rsid w:val="00D823C6"/>
    <w:rsid w:val="00D8327F"/>
    <w:rsid w:val="00D86CA3"/>
    <w:rsid w:val="00D871CE"/>
    <w:rsid w:val="00D9196D"/>
    <w:rsid w:val="00D92982"/>
    <w:rsid w:val="00D9745B"/>
    <w:rsid w:val="00DA305E"/>
    <w:rsid w:val="00DA5417"/>
    <w:rsid w:val="00DA56E8"/>
    <w:rsid w:val="00DA7660"/>
    <w:rsid w:val="00DB0376"/>
    <w:rsid w:val="00DB0A9F"/>
    <w:rsid w:val="00DB377D"/>
    <w:rsid w:val="00DC2B89"/>
    <w:rsid w:val="00DC2D36"/>
    <w:rsid w:val="00DC53EF"/>
    <w:rsid w:val="00DD41C6"/>
    <w:rsid w:val="00DE5608"/>
    <w:rsid w:val="00DE58D0"/>
    <w:rsid w:val="00DE654F"/>
    <w:rsid w:val="00DF0B6E"/>
    <w:rsid w:val="00DF15E0"/>
    <w:rsid w:val="00DF37A0"/>
    <w:rsid w:val="00E109CE"/>
    <w:rsid w:val="00E110E7"/>
    <w:rsid w:val="00E11B20"/>
    <w:rsid w:val="00E17FA2"/>
    <w:rsid w:val="00E22330"/>
    <w:rsid w:val="00E305AA"/>
    <w:rsid w:val="00E30B5A"/>
    <w:rsid w:val="00E3123D"/>
    <w:rsid w:val="00E31461"/>
    <w:rsid w:val="00E31D43"/>
    <w:rsid w:val="00E32608"/>
    <w:rsid w:val="00E34188"/>
    <w:rsid w:val="00E34B6E"/>
    <w:rsid w:val="00E35559"/>
    <w:rsid w:val="00E3723A"/>
    <w:rsid w:val="00E37860"/>
    <w:rsid w:val="00E40654"/>
    <w:rsid w:val="00E446F1"/>
    <w:rsid w:val="00E46886"/>
    <w:rsid w:val="00E47AEF"/>
    <w:rsid w:val="00E53B75"/>
    <w:rsid w:val="00E54E3B"/>
    <w:rsid w:val="00E57565"/>
    <w:rsid w:val="00E6207E"/>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A7AEB"/>
    <w:rsid w:val="00EB077B"/>
    <w:rsid w:val="00EB4EA2"/>
    <w:rsid w:val="00EC24D5"/>
    <w:rsid w:val="00EC27C6"/>
    <w:rsid w:val="00EC4207"/>
    <w:rsid w:val="00EC5653"/>
    <w:rsid w:val="00EC5F3E"/>
    <w:rsid w:val="00EC71CE"/>
    <w:rsid w:val="00ED1006"/>
    <w:rsid w:val="00ED1487"/>
    <w:rsid w:val="00EF18FE"/>
    <w:rsid w:val="00EF5787"/>
    <w:rsid w:val="00EF60D0"/>
    <w:rsid w:val="00F0528D"/>
    <w:rsid w:val="00F06C67"/>
    <w:rsid w:val="00F06DFD"/>
    <w:rsid w:val="00F071D1"/>
    <w:rsid w:val="00F07533"/>
    <w:rsid w:val="00F10629"/>
    <w:rsid w:val="00F15FA5"/>
    <w:rsid w:val="00F17566"/>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5F34"/>
    <w:rsid w:val="00FA6664"/>
    <w:rsid w:val="00FB1C9B"/>
    <w:rsid w:val="00FB4C80"/>
    <w:rsid w:val="00FB6A6A"/>
    <w:rsid w:val="00FC7429"/>
    <w:rsid w:val="00FD07F6"/>
    <w:rsid w:val="00FD1EC8"/>
    <w:rsid w:val="00FD47ED"/>
    <w:rsid w:val="00FD74DB"/>
    <w:rsid w:val="00FD7660"/>
    <w:rsid w:val="00FE0655"/>
    <w:rsid w:val="00FE0777"/>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xmsonormal">
    <w:name w:val="xmsonormal"/>
    <w:basedOn w:val="Normal"/>
    <w:rsid w:val="00D9745B"/>
    <w:pPr>
      <w:spacing w:after="0" w:line="240" w:lineRule="auto"/>
    </w:pPr>
    <w:rPr>
      <w:rFonts w:ascii="SimSun" w:eastAsia="SimSun" w:hAnsi="SimSun" w:cs="SimSun"/>
      <w:sz w:val="24"/>
      <w:lang w:eastAsia="zh-CN"/>
    </w:rPr>
  </w:style>
  <w:style w:type="character" w:customStyle="1" w:styleId="B1Zchn">
    <w:name w:val="B1 Zchn"/>
    <w:qFormat/>
    <w:rsid w:val="004076A1"/>
    <w:rPr>
      <w:lang w:eastAsia="en-US"/>
    </w:rPr>
  </w:style>
  <w:style w:type="paragraph" w:customStyle="1" w:styleId="Default">
    <w:name w:val="Default"/>
    <w:rsid w:val="00ED1487"/>
    <w:pPr>
      <w:autoSpaceDE w:val="0"/>
      <w:autoSpaceDN w:val="0"/>
      <w:adjustRightInd w:val="0"/>
    </w:pPr>
    <w:rPr>
      <w:rFonts w:ascii="Ericsson Hilda" w:hAnsi="Ericsson Hilda" w:cs="Ericsson Hilda"/>
      <w:color w:val="000000"/>
      <w:sz w:val="24"/>
      <w:szCs w:val="24"/>
      <w:lang w:val="sv-SE"/>
    </w:rPr>
  </w:style>
  <w:style w:type="paragraph" w:customStyle="1" w:styleId="IvDbodytext">
    <w:name w:val="IvD bodytext"/>
    <w:basedOn w:val="BodyText"/>
    <w:link w:val="IvDbodytextChar"/>
    <w:rsid w:val="00245DDA"/>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245DDA"/>
    <w:rPr>
      <w:rFonts w:ascii="Arial" w:hAnsi="Arial"/>
      <w:spacing w:val="2"/>
      <w:lang w:val="en-US" w:eastAsia="en-US"/>
    </w:rPr>
  </w:style>
  <w:style w:type="paragraph" w:customStyle="1" w:styleId="IvDInstructiontext">
    <w:name w:val="IvD Instructiontext"/>
    <w:basedOn w:val="BodyText"/>
    <w:link w:val="IvDInstructiontextChar"/>
    <w:uiPriority w:val="99"/>
    <w:rsid w:val="00D67816"/>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D67816"/>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7398">
      <w:bodyDiv w:val="1"/>
      <w:marLeft w:val="0"/>
      <w:marRight w:val="0"/>
      <w:marTop w:val="0"/>
      <w:marBottom w:val="0"/>
      <w:divBdr>
        <w:top w:val="none" w:sz="0" w:space="0" w:color="auto"/>
        <w:left w:val="none" w:sz="0" w:space="0" w:color="auto"/>
        <w:bottom w:val="none" w:sz="0" w:space="0" w:color="auto"/>
        <w:right w:val="none" w:sz="0" w:space="0" w:color="auto"/>
      </w:divBdr>
      <w:divsChild>
        <w:div w:id="47537056">
          <w:marLeft w:val="547"/>
          <w:marRight w:val="0"/>
          <w:marTop w:val="60"/>
          <w:marBottom w:val="0"/>
          <w:divBdr>
            <w:top w:val="none" w:sz="0" w:space="0" w:color="auto"/>
            <w:left w:val="none" w:sz="0" w:space="0" w:color="auto"/>
            <w:bottom w:val="none" w:sz="0" w:space="0" w:color="auto"/>
            <w:right w:val="none" w:sz="0" w:space="0" w:color="auto"/>
          </w:divBdr>
        </w:div>
        <w:div w:id="857354641">
          <w:marLeft w:val="1123"/>
          <w:marRight w:val="0"/>
          <w:marTop w:val="60"/>
          <w:marBottom w:val="0"/>
          <w:divBdr>
            <w:top w:val="none" w:sz="0" w:space="0" w:color="auto"/>
            <w:left w:val="none" w:sz="0" w:space="0" w:color="auto"/>
            <w:bottom w:val="none" w:sz="0" w:space="0" w:color="auto"/>
            <w:right w:val="none" w:sz="0" w:space="0" w:color="auto"/>
          </w:divBdr>
        </w:div>
        <w:div w:id="2071338700">
          <w:marLeft w:val="1699"/>
          <w:marRight w:val="0"/>
          <w:marTop w:val="60"/>
          <w:marBottom w:val="0"/>
          <w:divBdr>
            <w:top w:val="none" w:sz="0" w:space="0" w:color="auto"/>
            <w:left w:val="none" w:sz="0" w:space="0" w:color="auto"/>
            <w:bottom w:val="none" w:sz="0" w:space="0" w:color="auto"/>
            <w:right w:val="none" w:sz="0" w:space="0" w:color="auto"/>
          </w:divBdr>
        </w:div>
        <w:div w:id="1740863040">
          <w:marLeft w:val="1123"/>
          <w:marRight w:val="0"/>
          <w:marTop w:val="60"/>
          <w:marBottom w:val="0"/>
          <w:divBdr>
            <w:top w:val="none" w:sz="0" w:space="0" w:color="auto"/>
            <w:left w:val="none" w:sz="0" w:space="0" w:color="auto"/>
            <w:bottom w:val="none" w:sz="0" w:space="0" w:color="auto"/>
            <w:right w:val="none" w:sz="0" w:space="0" w:color="auto"/>
          </w:divBdr>
        </w:div>
        <w:div w:id="354618023">
          <w:marLeft w:val="1699"/>
          <w:marRight w:val="0"/>
          <w:marTop w:val="60"/>
          <w:marBottom w:val="0"/>
          <w:divBdr>
            <w:top w:val="none" w:sz="0" w:space="0" w:color="auto"/>
            <w:left w:val="none" w:sz="0" w:space="0" w:color="auto"/>
            <w:bottom w:val="none" w:sz="0" w:space="0" w:color="auto"/>
            <w:right w:val="none" w:sz="0" w:space="0" w:color="auto"/>
          </w:divBdr>
        </w:div>
        <w:div w:id="1288585233">
          <w:marLeft w:val="1123"/>
          <w:marRight w:val="0"/>
          <w:marTop w:val="60"/>
          <w:marBottom w:val="0"/>
          <w:divBdr>
            <w:top w:val="none" w:sz="0" w:space="0" w:color="auto"/>
            <w:left w:val="none" w:sz="0" w:space="0" w:color="auto"/>
            <w:bottom w:val="none" w:sz="0" w:space="0" w:color="auto"/>
            <w:right w:val="none" w:sz="0" w:space="0" w:color="auto"/>
          </w:divBdr>
        </w:div>
        <w:div w:id="1420829748">
          <w:marLeft w:val="1699"/>
          <w:marRight w:val="0"/>
          <w:marTop w:val="60"/>
          <w:marBottom w:val="0"/>
          <w:divBdr>
            <w:top w:val="none" w:sz="0" w:space="0" w:color="auto"/>
            <w:left w:val="none" w:sz="0" w:space="0" w:color="auto"/>
            <w:bottom w:val="none" w:sz="0" w:space="0" w:color="auto"/>
            <w:right w:val="none" w:sz="0" w:space="0" w:color="auto"/>
          </w:divBdr>
        </w:div>
      </w:divsChild>
    </w:div>
    <w:div w:id="121004216">
      <w:bodyDiv w:val="1"/>
      <w:marLeft w:val="0"/>
      <w:marRight w:val="0"/>
      <w:marTop w:val="0"/>
      <w:marBottom w:val="0"/>
      <w:divBdr>
        <w:top w:val="none" w:sz="0" w:space="0" w:color="auto"/>
        <w:left w:val="none" w:sz="0" w:space="0" w:color="auto"/>
        <w:bottom w:val="none" w:sz="0" w:space="0" w:color="auto"/>
        <w:right w:val="none" w:sz="0" w:space="0" w:color="auto"/>
      </w:divBdr>
      <w:divsChild>
        <w:div w:id="1501771992">
          <w:marLeft w:val="547"/>
          <w:marRight w:val="0"/>
          <w:marTop w:val="60"/>
          <w:marBottom w:val="0"/>
          <w:divBdr>
            <w:top w:val="none" w:sz="0" w:space="0" w:color="auto"/>
            <w:left w:val="none" w:sz="0" w:space="0" w:color="auto"/>
            <w:bottom w:val="none" w:sz="0" w:space="0" w:color="auto"/>
            <w:right w:val="none" w:sz="0" w:space="0" w:color="auto"/>
          </w:divBdr>
        </w:div>
        <w:div w:id="1778864008">
          <w:marLeft w:val="1123"/>
          <w:marRight w:val="0"/>
          <w:marTop w:val="60"/>
          <w:marBottom w:val="0"/>
          <w:divBdr>
            <w:top w:val="none" w:sz="0" w:space="0" w:color="auto"/>
            <w:left w:val="none" w:sz="0" w:space="0" w:color="auto"/>
            <w:bottom w:val="none" w:sz="0" w:space="0" w:color="auto"/>
            <w:right w:val="none" w:sz="0" w:space="0" w:color="auto"/>
          </w:divBdr>
        </w:div>
        <w:div w:id="1061559024">
          <w:marLeft w:val="1123"/>
          <w:marRight w:val="0"/>
          <w:marTop w:val="60"/>
          <w:marBottom w:val="0"/>
          <w:divBdr>
            <w:top w:val="none" w:sz="0" w:space="0" w:color="auto"/>
            <w:left w:val="none" w:sz="0" w:space="0" w:color="auto"/>
            <w:bottom w:val="none" w:sz="0" w:space="0" w:color="auto"/>
            <w:right w:val="none" w:sz="0" w:space="0" w:color="auto"/>
          </w:divBdr>
        </w:div>
      </w:divsChild>
    </w:div>
    <w:div w:id="466556234">
      <w:bodyDiv w:val="1"/>
      <w:marLeft w:val="0"/>
      <w:marRight w:val="0"/>
      <w:marTop w:val="0"/>
      <w:marBottom w:val="0"/>
      <w:divBdr>
        <w:top w:val="none" w:sz="0" w:space="0" w:color="auto"/>
        <w:left w:val="none" w:sz="0" w:space="0" w:color="auto"/>
        <w:bottom w:val="none" w:sz="0" w:space="0" w:color="auto"/>
        <w:right w:val="none" w:sz="0" w:space="0" w:color="auto"/>
      </w:divBdr>
    </w:div>
    <w:div w:id="525950082">
      <w:bodyDiv w:val="1"/>
      <w:marLeft w:val="0"/>
      <w:marRight w:val="0"/>
      <w:marTop w:val="0"/>
      <w:marBottom w:val="0"/>
      <w:divBdr>
        <w:top w:val="none" w:sz="0" w:space="0" w:color="auto"/>
        <w:left w:val="none" w:sz="0" w:space="0" w:color="auto"/>
        <w:bottom w:val="none" w:sz="0" w:space="0" w:color="auto"/>
        <w:right w:val="none" w:sz="0" w:space="0" w:color="auto"/>
      </w:divBdr>
      <w:divsChild>
        <w:div w:id="828517863">
          <w:marLeft w:val="1123"/>
          <w:marRight w:val="0"/>
          <w:marTop w:val="60"/>
          <w:marBottom w:val="0"/>
          <w:divBdr>
            <w:top w:val="none" w:sz="0" w:space="0" w:color="auto"/>
            <w:left w:val="none" w:sz="0" w:space="0" w:color="auto"/>
            <w:bottom w:val="none" w:sz="0" w:space="0" w:color="auto"/>
            <w:right w:val="none" w:sz="0" w:space="0" w:color="auto"/>
          </w:divBdr>
        </w:div>
        <w:div w:id="875192362">
          <w:marLeft w:val="1123"/>
          <w:marRight w:val="0"/>
          <w:marTop w:val="60"/>
          <w:marBottom w:val="0"/>
          <w:divBdr>
            <w:top w:val="none" w:sz="0" w:space="0" w:color="auto"/>
            <w:left w:val="none" w:sz="0" w:space="0" w:color="auto"/>
            <w:bottom w:val="none" w:sz="0" w:space="0" w:color="auto"/>
            <w:right w:val="none" w:sz="0" w:space="0" w:color="auto"/>
          </w:divBdr>
        </w:div>
        <w:div w:id="947734719">
          <w:marLeft w:val="1699"/>
          <w:marRight w:val="0"/>
          <w:marTop w:val="60"/>
          <w:marBottom w:val="0"/>
          <w:divBdr>
            <w:top w:val="none" w:sz="0" w:space="0" w:color="auto"/>
            <w:left w:val="none" w:sz="0" w:space="0" w:color="auto"/>
            <w:bottom w:val="none" w:sz="0" w:space="0" w:color="auto"/>
            <w:right w:val="none" w:sz="0" w:space="0" w:color="auto"/>
          </w:divBdr>
        </w:div>
        <w:div w:id="1321424718">
          <w:marLeft w:val="1123"/>
          <w:marRight w:val="0"/>
          <w:marTop w:val="60"/>
          <w:marBottom w:val="0"/>
          <w:divBdr>
            <w:top w:val="none" w:sz="0" w:space="0" w:color="auto"/>
            <w:left w:val="none" w:sz="0" w:space="0" w:color="auto"/>
            <w:bottom w:val="none" w:sz="0" w:space="0" w:color="auto"/>
            <w:right w:val="none" w:sz="0" w:space="0" w:color="auto"/>
          </w:divBdr>
        </w:div>
        <w:div w:id="2014455097">
          <w:marLeft w:val="547"/>
          <w:marRight w:val="0"/>
          <w:marTop w:val="60"/>
          <w:marBottom w:val="0"/>
          <w:divBdr>
            <w:top w:val="none" w:sz="0" w:space="0" w:color="auto"/>
            <w:left w:val="none" w:sz="0" w:space="0" w:color="auto"/>
            <w:bottom w:val="none" w:sz="0" w:space="0" w:color="auto"/>
            <w:right w:val="none" w:sz="0" w:space="0" w:color="auto"/>
          </w:divBdr>
        </w:div>
        <w:div w:id="1279491669">
          <w:marLeft w:val="1123"/>
          <w:marRight w:val="0"/>
          <w:marTop w:val="60"/>
          <w:marBottom w:val="0"/>
          <w:divBdr>
            <w:top w:val="none" w:sz="0" w:space="0" w:color="auto"/>
            <w:left w:val="none" w:sz="0" w:space="0" w:color="auto"/>
            <w:bottom w:val="none" w:sz="0" w:space="0" w:color="auto"/>
            <w:right w:val="none" w:sz="0" w:space="0" w:color="auto"/>
          </w:divBdr>
        </w:div>
      </w:divsChild>
    </w:div>
    <w:div w:id="1053887877">
      <w:bodyDiv w:val="1"/>
      <w:marLeft w:val="0"/>
      <w:marRight w:val="0"/>
      <w:marTop w:val="0"/>
      <w:marBottom w:val="0"/>
      <w:divBdr>
        <w:top w:val="none" w:sz="0" w:space="0" w:color="auto"/>
        <w:left w:val="none" w:sz="0" w:space="0" w:color="auto"/>
        <w:bottom w:val="none" w:sz="0" w:space="0" w:color="auto"/>
        <w:right w:val="none" w:sz="0" w:space="0" w:color="auto"/>
      </w:divBdr>
    </w:div>
    <w:div w:id="1231770634">
      <w:bodyDiv w:val="1"/>
      <w:marLeft w:val="0"/>
      <w:marRight w:val="0"/>
      <w:marTop w:val="0"/>
      <w:marBottom w:val="0"/>
      <w:divBdr>
        <w:top w:val="none" w:sz="0" w:space="0" w:color="auto"/>
        <w:left w:val="none" w:sz="0" w:space="0" w:color="auto"/>
        <w:bottom w:val="none" w:sz="0" w:space="0" w:color="auto"/>
        <w:right w:val="none" w:sz="0" w:space="0" w:color="auto"/>
      </w:divBdr>
      <w:divsChild>
        <w:div w:id="140772594">
          <w:marLeft w:val="1123"/>
          <w:marRight w:val="0"/>
          <w:marTop w:val="60"/>
          <w:marBottom w:val="0"/>
          <w:divBdr>
            <w:top w:val="none" w:sz="0" w:space="0" w:color="auto"/>
            <w:left w:val="none" w:sz="0" w:space="0" w:color="auto"/>
            <w:bottom w:val="none" w:sz="0" w:space="0" w:color="auto"/>
            <w:right w:val="none" w:sz="0" w:space="0" w:color="auto"/>
          </w:divBdr>
        </w:div>
      </w:divsChild>
    </w:div>
    <w:div w:id="1413313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2\Docs\R1-2005376.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2\Docs\R1-2005376.zip" TargetMode="External"/><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CA4B21-AB02-4C99-903B-A3E8D3FE8C3D}">
  <ds:schemaRefs>
    <ds:schemaRef ds:uri="http://schemas.microsoft.com/sharepoint/v3/contenttype/forms"/>
  </ds:schemaRefs>
</ds:datastoreItem>
</file>

<file path=customXml/itemProps2.xml><?xml version="1.0" encoding="utf-8"?>
<ds:datastoreItem xmlns:ds="http://schemas.openxmlformats.org/officeDocument/2006/customXml" ds:itemID="{E7FED3D0-1102-4688-9A2E-AE4E72CAFB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F5670F-401F-4812-ACEF-9DE56A44B3F5}">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6A0FB48C-24D3-45BD-9D5A-EA6FC6E93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3216</Words>
  <Characters>18354</Characters>
  <Application>Microsoft Office Word</Application>
  <DocSecurity>0</DocSecurity>
  <Lines>1411</Lines>
  <Paragraphs>1268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20302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2020-10-24T02:46:00Z</dcterms:created>
  <dcterms:modified xsi:type="dcterms:W3CDTF">2020-10-24T07:52:00Z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